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B05" w:rsidRPr="0054389C" w:rsidRDefault="00306B05" w:rsidP="00306B0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102-e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326EC5">
        <w:rPr>
          <w:rFonts w:ascii="Arial" w:eastAsia="宋体" w:hAnsi="Arial" w:cs="Arial"/>
          <w:b/>
          <w:sz w:val="24"/>
          <w:lang w:val="en-GB"/>
        </w:rPr>
        <w:t>4233</w:t>
      </w:r>
    </w:p>
    <w:p w:rsidR="00306B05" w:rsidRPr="00B40311" w:rsidRDefault="00306B05" w:rsidP="00306B0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E5EC2">
        <w:rPr>
          <w:rFonts w:ascii="Arial" w:eastAsia="宋体" w:hAnsi="Arial" w:cs="Arial"/>
          <w:b/>
          <w:sz w:val="24"/>
          <w:lang w:val="en-GB" w:eastAsia="ko-KR"/>
        </w:rPr>
        <w:t>Further d</w:t>
      </w:r>
      <w:r w:rsidR="00BE3F60" w:rsidRPr="00BE3F60">
        <w:rPr>
          <w:rFonts w:ascii="Arial" w:eastAsia="宋体" w:hAnsi="Arial" w:cs="Arial"/>
          <w:b/>
          <w:sz w:val="24"/>
          <w:lang w:val="en-GB" w:eastAsia="ko-KR"/>
        </w:rPr>
        <w:t xml:space="preserve">iscussion on </w:t>
      </w:r>
      <w:r w:rsidR="000128AB">
        <w:rPr>
          <w:rFonts w:ascii="Arial" w:eastAsia="宋体" w:hAnsi="Arial" w:cs="Arial"/>
          <w:b/>
          <w:sz w:val="24"/>
          <w:lang w:val="en-GB" w:eastAsia="ko-KR"/>
        </w:rPr>
        <w:t xml:space="preserve">pre-configured measurement gap </w:t>
      </w:r>
      <w:r w:rsidR="00112B44">
        <w:rPr>
          <w:rFonts w:ascii="Arial" w:eastAsia="宋体" w:hAnsi="Arial" w:cs="Arial" w:hint="eastAsia"/>
          <w:b/>
          <w:sz w:val="24"/>
          <w:lang w:val="en-GB"/>
        </w:rPr>
        <w:t>for</w:t>
      </w:r>
      <w:r w:rsidR="00112B44">
        <w:rPr>
          <w:rFonts w:ascii="Arial" w:eastAsia="宋体" w:hAnsi="Arial" w:cs="Arial"/>
          <w:b/>
          <w:sz w:val="24"/>
          <w:lang w:val="en-GB" w:eastAsia="ko-KR"/>
        </w:rPr>
        <w:t xml:space="preserve">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06B05" w:rsidRPr="00326EC5">
        <w:rPr>
          <w:rFonts w:ascii="Arial" w:eastAsia="宋体" w:hAnsi="Arial" w:cs="Arial"/>
          <w:b/>
          <w:sz w:val="24"/>
          <w:lang w:val="en-GB"/>
        </w:rPr>
        <w:t>10</w:t>
      </w:r>
      <w:r w:rsidR="008B4BC4" w:rsidRPr="00326EC5">
        <w:rPr>
          <w:rFonts w:ascii="Arial" w:eastAsia="宋体" w:hAnsi="Arial" w:cs="Arial"/>
          <w:b/>
          <w:sz w:val="24"/>
          <w:lang w:val="en-GB"/>
        </w:rPr>
        <w:t>.1</w:t>
      </w:r>
      <w:r w:rsidR="00406074" w:rsidRPr="00326EC5">
        <w:rPr>
          <w:rFonts w:ascii="Arial" w:eastAsia="宋体" w:hAnsi="Arial" w:cs="Arial"/>
          <w:b/>
          <w:sz w:val="24"/>
          <w:lang w:val="en-GB"/>
        </w:rPr>
        <w:t>1</w:t>
      </w:r>
      <w:r w:rsidRPr="00326EC5">
        <w:rPr>
          <w:rFonts w:ascii="Arial" w:eastAsia="宋体" w:hAnsi="Arial" w:cs="Arial" w:hint="eastAsia"/>
          <w:b/>
          <w:sz w:val="24"/>
          <w:lang w:val="en-GB"/>
        </w:rPr>
        <w:t>.</w:t>
      </w:r>
      <w:r w:rsidRPr="00326EC5">
        <w:rPr>
          <w:rFonts w:ascii="Arial" w:eastAsia="宋体" w:hAnsi="Arial" w:cs="Arial"/>
          <w:b/>
          <w:sz w:val="24"/>
          <w:lang w:val="en-GB"/>
        </w:rPr>
        <w:t>2</w:t>
      </w:r>
      <w:r w:rsidRPr="00326EC5">
        <w:rPr>
          <w:rFonts w:ascii="Arial" w:eastAsia="宋体" w:hAnsi="Arial" w:cs="Arial" w:hint="eastAsia"/>
          <w:b/>
          <w:sz w:val="24"/>
          <w:lang w:val="en-GB"/>
        </w:rPr>
        <w:t>.</w:t>
      </w:r>
      <w:r w:rsidR="00112B44" w:rsidRPr="00326EC5">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rsidP="00123091">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w:t>
      </w:r>
      <w:r w:rsidR="000128AB">
        <w:rPr>
          <w:rFonts w:ascii="Times New Roman" w:hAnsi="Times New Roman" w:cs="Times New Roman"/>
          <w:sz w:val="20"/>
          <w:szCs w:val="20"/>
        </w:rPr>
        <w:t>4</w:t>
      </w:r>
      <w:r w:rsidRPr="000D163E">
        <w:rPr>
          <w:rFonts w:ascii="Times New Roman" w:hAnsi="Times New Roman" w:cs="Times New Roman"/>
          <w:sz w:val="20"/>
          <w:szCs w:val="20"/>
        </w:rPr>
        <w:t>#</w:t>
      </w:r>
      <w:r w:rsidR="00584BFD">
        <w:rPr>
          <w:rFonts w:ascii="Times New Roman" w:hAnsi="Times New Roman" w:cs="Times New Roman"/>
          <w:sz w:val="20"/>
          <w:szCs w:val="20"/>
        </w:rPr>
        <w:t>101</w:t>
      </w:r>
      <w:r w:rsidR="003C5A15">
        <w:rPr>
          <w:rFonts w:ascii="Times New Roman" w:hAnsi="Times New Roman" w:cs="Times New Roman" w:hint="eastAsia"/>
          <w:sz w:val="20"/>
          <w:szCs w:val="20"/>
        </w:rPr>
        <w:t>bis</w:t>
      </w:r>
      <w:r w:rsidR="003C5A15">
        <w:rPr>
          <w:rFonts w:ascii="Times New Roman" w:hAnsi="Times New Roman" w:cs="Times New Roman"/>
          <w:sz w:val="20"/>
          <w:szCs w:val="20"/>
        </w:rPr>
        <w:t>-</w:t>
      </w:r>
      <w:r>
        <w:rPr>
          <w:rFonts w:ascii="Times New Roman" w:hAnsi="Times New Roman" w:cs="Times New Roman"/>
          <w:sz w:val="20"/>
          <w:szCs w:val="20"/>
        </w:rPr>
        <w:t xml:space="preserve">e meeting, </w:t>
      </w:r>
      <w:r w:rsidR="000128AB">
        <w:rPr>
          <w:rFonts w:ascii="Times New Roman" w:hAnsi="Times New Roman" w:cs="Times New Roman"/>
          <w:sz w:val="20"/>
          <w:szCs w:val="20"/>
        </w:rPr>
        <w:t xml:space="preserve">RAN4 had </w:t>
      </w:r>
      <w:r w:rsidR="00584BFD">
        <w:rPr>
          <w:rFonts w:ascii="Times New Roman" w:hAnsi="Times New Roman" w:cs="Times New Roman"/>
          <w:sz w:val="20"/>
          <w:szCs w:val="20"/>
        </w:rPr>
        <w:t>extensive</w:t>
      </w:r>
      <w:r w:rsidR="000128AB">
        <w:rPr>
          <w:rFonts w:ascii="Times New Roman" w:hAnsi="Times New Roman" w:cs="Times New Roman"/>
          <w:sz w:val="20"/>
          <w:szCs w:val="20"/>
        </w:rPr>
        <w:t xml:space="preserve"> discussion on pre-configured measurement gap and the related WF was approved in WF</w:t>
      </w:r>
      <w:r>
        <w:rPr>
          <w:rFonts w:ascii="Times New Roman" w:hAnsi="Times New Roman" w:cs="Times New Roman"/>
          <w:sz w:val="20"/>
          <w:szCs w:val="20"/>
        </w:rPr>
        <w:t xml:space="preserve"> [1]. In this contribution, we </w:t>
      </w:r>
      <w:r w:rsidR="00123091">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123091">
        <w:rPr>
          <w:rFonts w:ascii="Times New Roman" w:hAnsi="Times New Roman" w:cs="Times New Roman"/>
          <w:sz w:val="20"/>
          <w:szCs w:val="20"/>
        </w:rPr>
        <w:t xml:space="preserve">the </w:t>
      </w:r>
      <w:r w:rsidR="00C639C4">
        <w:rPr>
          <w:rFonts w:ascii="Times New Roman" w:hAnsi="Times New Roman" w:cs="Times New Roman"/>
          <w:sz w:val="20"/>
          <w:szCs w:val="20"/>
        </w:rPr>
        <w:t>pre-configured measurement</w:t>
      </w:r>
      <w:r w:rsidR="00E34795">
        <w:rPr>
          <w:rFonts w:ascii="Times New Roman" w:hAnsi="Times New Roman" w:cs="Times New Roman"/>
          <w:sz w:val="20"/>
          <w:szCs w:val="20"/>
        </w:rPr>
        <w:t xml:space="preserve"> </w:t>
      </w:r>
      <w:r w:rsidR="00777331">
        <w:rPr>
          <w:rFonts w:ascii="Times New Roman" w:hAnsi="Times New Roman" w:cs="Times New Roman"/>
          <w:sz w:val="20"/>
          <w:szCs w:val="20"/>
        </w:rPr>
        <w:t xml:space="preserve">gap </w:t>
      </w:r>
      <w:r w:rsidR="00E34795">
        <w:rPr>
          <w:rFonts w:ascii="Times New Roman" w:hAnsi="Times New Roman" w:cs="Times New Roman"/>
          <w:sz w:val="20"/>
          <w:szCs w:val="20"/>
        </w:rPr>
        <w:t>mechanism</w:t>
      </w:r>
      <w:r w:rsidR="00123091">
        <w:rPr>
          <w:rFonts w:ascii="Times New Roman" w:hAnsi="Times New Roman" w:cs="Times New Roman"/>
          <w:sz w:val="20"/>
          <w:szCs w:val="20"/>
        </w:rPr>
        <w:t xml:space="preserve"> for NR</w:t>
      </w:r>
      <w:r w:rsidR="00E34795">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2439A5" w:rsidRDefault="000D163E" w:rsidP="002439A5">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tbl>
      <w:tblPr>
        <w:tblW w:w="84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0A62AC" w:rsidTr="003E4EC7">
        <w:trPr>
          <w:trHeight w:val="924"/>
        </w:trPr>
        <w:tc>
          <w:tcPr>
            <w:tcW w:w="8417" w:type="dxa"/>
          </w:tcPr>
          <w:p w:rsidR="000A62AC" w:rsidRPr="008B47A0" w:rsidRDefault="000A62AC" w:rsidP="003E4EC7">
            <w:pPr>
              <w:pStyle w:val="4"/>
              <w:spacing w:before="0" w:after="0"/>
              <w:rPr>
                <w:rFonts w:ascii="Times New Roman" w:eastAsiaTheme="minorEastAsia" w:hAnsi="Times New Roman" w:cs="Times New Roman"/>
                <w:b w:val="0"/>
                <w:bCs w:val="0"/>
                <w:sz w:val="20"/>
                <w:szCs w:val="20"/>
                <w:u w:val="single"/>
              </w:rPr>
            </w:pPr>
            <w:r w:rsidRPr="008B47A0">
              <w:rPr>
                <w:rFonts w:ascii="Times New Roman" w:eastAsiaTheme="minorEastAsia" w:hAnsi="Times New Roman" w:cs="Times New Roman"/>
                <w:sz w:val="20"/>
                <w:szCs w:val="20"/>
                <w:u w:val="single"/>
              </w:rPr>
              <w:t xml:space="preserve">The exact configuration of Pre-MG used for PRS measurement </w:t>
            </w:r>
          </w:p>
          <w:p w:rsidR="000A62AC" w:rsidRPr="008B47A0" w:rsidRDefault="000A62AC" w:rsidP="003E4EC7">
            <w:pPr>
              <w:pStyle w:val="a7"/>
              <w:numPr>
                <w:ilvl w:val="0"/>
                <w:numId w:val="42"/>
              </w:numPr>
              <w:overflowPunct w:val="0"/>
              <w:autoSpaceDE w:val="0"/>
              <w:autoSpaceDN w:val="0"/>
              <w:adjustRightInd w:val="0"/>
              <w:spacing w:line="259" w:lineRule="auto"/>
              <w:contextualSpacing w:val="0"/>
              <w:textAlignment w:val="baseline"/>
              <w:rPr>
                <w:rFonts w:eastAsiaTheme="minorEastAsia"/>
                <w:b/>
                <w:bCs/>
                <w:sz w:val="20"/>
                <w:szCs w:val="20"/>
              </w:rPr>
            </w:pPr>
            <w:r w:rsidRPr="008B47A0">
              <w:rPr>
                <w:rFonts w:eastAsiaTheme="minorEastAsia"/>
                <w:b/>
                <w:bCs/>
                <w:sz w:val="20"/>
                <w:szCs w:val="20"/>
              </w:rPr>
              <w:t>UE shall inform network about the PRS measurement by LocationMeasurementIndication IE</w:t>
            </w:r>
          </w:p>
          <w:p w:rsidR="000A62AC" w:rsidRPr="008B47A0" w:rsidRDefault="000A62AC" w:rsidP="003E4EC7">
            <w:pPr>
              <w:pStyle w:val="a7"/>
              <w:numPr>
                <w:ilvl w:val="0"/>
                <w:numId w:val="42"/>
              </w:numPr>
              <w:overflowPunct w:val="0"/>
              <w:autoSpaceDE w:val="0"/>
              <w:autoSpaceDN w:val="0"/>
              <w:adjustRightInd w:val="0"/>
              <w:spacing w:line="259" w:lineRule="auto"/>
              <w:contextualSpacing w:val="0"/>
              <w:textAlignment w:val="baseline"/>
              <w:rPr>
                <w:rFonts w:eastAsiaTheme="minorEastAsia"/>
                <w:b/>
                <w:bCs/>
                <w:sz w:val="20"/>
                <w:szCs w:val="20"/>
              </w:rPr>
            </w:pPr>
            <w:r w:rsidRPr="008B47A0">
              <w:rPr>
                <w:rFonts w:eastAsiaTheme="minorEastAsia"/>
                <w:b/>
                <w:bCs/>
                <w:sz w:val="20"/>
                <w:szCs w:val="20"/>
              </w:rPr>
              <w:t>FFS on when this indication shall be informed to NW</w:t>
            </w:r>
          </w:p>
          <w:p w:rsidR="000A62AC" w:rsidRPr="008B47A0" w:rsidRDefault="000A62AC" w:rsidP="003E4EC7">
            <w:pPr>
              <w:pStyle w:val="a7"/>
              <w:numPr>
                <w:ilvl w:val="1"/>
                <w:numId w:val="42"/>
              </w:numPr>
              <w:overflowPunct w:val="0"/>
              <w:autoSpaceDE w:val="0"/>
              <w:autoSpaceDN w:val="0"/>
              <w:adjustRightInd w:val="0"/>
              <w:spacing w:line="259" w:lineRule="auto"/>
              <w:contextualSpacing w:val="0"/>
              <w:textAlignment w:val="baseline"/>
              <w:rPr>
                <w:rFonts w:eastAsiaTheme="minorEastAsia"/>
                <w:b/>
                <w:bCs/>
                <w:sz w:val="20"/>
                <w:szCs w:val="20"/>
              </w:rPr>
            </w:pPr>
            <w:r w:rsidRPr="008B47A0">
              <w:rPr>
                <w:rFonts w:eastAsiaTheme="minorEastAsia"/>
                <w:b/>
                <w:bCs/>
                <w:sz w:val="20"/>
                <w:szCs w:val="20"/>
              </w:rPr>
              <w:t>Option 1. when UE is going to perform PRS measurement upon the measurement gap is needed [TS38.331]</w:t>
            </w:r>
          </w:p>
          <w:p w:rsidR="000A62AC" w:rsidRPr="008B47A0" w:rsidRDefault="000A62AC" w:rsidP="003E4EC7">
            <w:pPr>
              <w:pStyle w:val="a7"/>
              <w:numPr>
                <w:ilvl w:val="1"/>
                <w:numId w:val="42"/>
              </w:numPr>
              <w:overflowPunct w:val="0"/>
              <w:autoSpaceDE w:val="0"/>
              <w:autoSpaceDN w:val="0"/>
              <w:adjustRightInd w:val="0"/>
              <w:spacing w:line="259" w:lineRule="auto"/>
              <w:contextualSpacing w:val="0"/>
              <w:textAlignment w:val="baseline"/>
              <w:rPr>
                <w:rFonts w:eastAsiaTheme="minorEastAsia"/>
                <w:b/>
                <w:bCs/>
              </w:rPr>
            </w:pPr>
            <w:r w:rsidRPr="008B47A0">
              <w:rPr>
                <w:rFonts w:eastAsiaTheme="minorEastAsia"/>
                <w:b/>
                <w:bCs/>
                <w:sz w:val="20"/>
                <w:szCs w:val="20"/>
              </w:rPr>
              <w:t>Option 2. when UE is going to perform PRS with the configured Pre-MG only if UE has not informed NW before pre-MG configuration.</w:t>
            </w:r>
          </w:p>
        </w:tc>
      </w:tr>
    </w:tbl>
    <w:p w:rsidR="000A62AC" w:rsidRDefault="000A62AC" w:rsidP="000A62AC">
      <w:pPr>
        <w:spacing w:before="240" w:after="240"/>
        <w:rPr>
          <w:rFonts w:ascii="Times New Roman" w:hAnsi="Times New Roman" w:cs="Times New Roman"/>
          <w:b/>
          <w:sz w:val="20"/>
          <w:szCs w:val="20"/>
        </w:rPr>
      </w:pPr>
      <w:r>
        <w:rPr>
          <w:rFonts w:ascii="Times New Roman" w:hAnsi="Times New Roman" w:cs="Times New Roman"/>
          <w:bCs/>
          <w:sz w:val="20"/>
          <w:szCs w:val="20"/>
        </w:rPr>
        <w:t xml:space="preserve">In last meeting, RAN4 agreed that UE shall inform NW about the PRS measurement by </w:t>
      </w:r>
      <w:r w:rsidRPr="005A1277">
        <w:rPr>
          <w:rFonts w:ascii="Times New Roman" w:hAnsi="Times New Roman" w:cs="Times New Roman"/>
          <w:bCs/>
          <w:i/>
          <w:sz w:val="20"/>
          <w:szCs w:val="20"/>
        </w:rPr>
        <w:t>LocationMeasurementIndication</w:t>
      </w:r>
      <w:r>
        <w:rPr>
          <w:rFonts w:ascii="Times New Roman" w:hAnsi="Times New Roman" w:cs="Times New Roman"/>
          <w:bCs/>
          <w:sz w:val="20"/>
          <w:szCs w:val="20"/>
        </w:rPr>
        <w:t xml:space="preserve"> message, and FFS on when this indication shall be informed to NW. When UE is configured with PRS measurement, the </w:t>
      </w:r>
      <w:r w:rsidRPr="005A1277">
        <w:rPr>
          <w:rFonts w:ascii="Times New Roman" w:hAnsi="Times New Roman" w:cs="Times New Roman"/>
          <w:bCs/>
          <w:i/>
          <w:sz w:val="20"/>
          <w:szCs w:val="20"/>
        </w:rPr>
        <w:t>LocationMeasurementIndication</w:t>
      </w:r>
      <w:r>
        <w:rPr>
          <w:rFonts w:ascii="Times New Roman" w:hAnsi="Times New Roman" w:cs="Times New Roman"/>
          <w:bCs/>
          <w:sz w:val="20"/>
          <w:szCs w:val="20"/>
        </w:rPr>
        <w:t xml:space="preserve"> message in [2] is used to indicate the UE is going to either to start or stop locations related measurement which requires measurement gaps. However, according to the discussion in RAN4#101bis-e meeting [3], it is understood that UE may not trigger location measurement indication procedure after receiving LPP message. Thus, </w:t>
      </w:r>
      <w:r w:rsidRPr="007C25F9">
        <w:rPr>
          <w:rFonts w:ascii="Times New Roman" w:hAnsi="Times New Roman" w:cs="Times New Roman"/>
          <w:bCs/>
          <w:sz w:val="20"/>
          <w:szCs w:val="20"/>
        </w:rPr>
        <w:t>when UE is going to perform PRS with the configured Pre-MG</w:t>
      </w:r>
      <w:r>
        <w:rPr>
          <w:rFonts w:ascii="Times New Roman" w:hAnsi="Times New Roman" w:cs="Times New Roman"/>
          <w:bCs/>
          <w:sz w:val="20"/>
          <w:szCs w:val="20"/>
        </w:rPr>
        <w:t>,</w:t>
      </w:r>
      <w:r w:rsidRPr="007C25F9">
        <w:rPr>
          <w:rFonts w:ascii="Times New Roman" w:hAnsi="Times New Roman" w:cs="Times New Roman"/>
          <w:bCs/>
          <w:sz w:val="20"/>
          <w:szCs w:val="20"/>
        </w:rPr>
        <w:t xml:space="preserve"> UE shall inform network about the PRS measurement by </w:t>
      </w:r>
      <w:r w:rsidRPr="007C25F9">
        <w:rPr>
          <w:rFonts w:ascii="Times New Roman" w:hAnsi="Times New Roman" w:cs="Times New Roman"/>
          <w:bCs/>
          <w:i/>
          <w:sz w:val="20"/>
          <w:szCs w:val="20"/>
        </w:rPr>
        <w:t>LocationMeasurementIndication</w:t>
      </w:r>
      <w:r w:rsidRPr="007C25F9">
        <w:rPr>
          <w:rFonts w:ascii="Times New Roman" w:hAnsi="Times New Roman" w:cs="Times New Roman"/>
          <w:bCs/>
          <w:sz w:val="20"/>
          <w:szCs w:val="20"/>
        </w:rPr>
        <w:t xml:space="preserve"> IE only if UE has not informed NW before pre-MG configuration.</w:t>
      </w:r>
    </w:p>
    <w:p w:rsidR="000A62AC" w:rsidRPr="000A62AC" w:rsidRDefault="000A62AC" w:rsidP="00A967E3">
      <w:pPr>
        <w:spacing w:after="240"/>
        <w:rPr>
          <w:lang w:val="en-GB" w:eastAsia="en-US"/>
        </w:rPr>
      </w:pPr>
      <w:r w:rsidRPr="0038386A">
        <w:rPr>
          <w:rFonts w:ascii="Times New Roman" w:hAnsi="Times New Roman" w:cs="Times New Roman"/>
          <w:b/>
          <w:sz w:val="20"/>
          <w:szCs w:val="20"/>
        </w:rPr>
        <w:t xml:space="preserve">Proposal </w:t>
      </w:r>
      <w:r>
        <w:rPr>
          <w:rFonts w:ascii="Times New Roman" w:hAnsi="Times New Roman" w:cs="Times New Roman"/>
          <w:b/>
          <w:sz w:val="20"/>
          <w:szCs w:val="20"/>
        </w:rPr>
        <w:t>1</w:t>
      </w:r>
      <w:r w:rsidRPr="0038386A">
        <w:rPr>
          <w:rFonts w:ascii="Times New Roman" w:hAnsi="Times New Roman" w:cs="Times New Roman"/>
          <w:b/>
          <w:sz w:val="20"/>
          <w:szCs w:val="20"/>
        </w:rPr>
        <w:t xml:space="preserve">: </w:t>
      </w:r>
      <w:r>
        <w:rPr>
          <w:rFonts w:ascii="Times New Roman" w:hAnsi="Times New Roman" w:cs="Times New Roman"/>
          <w:b/>
          <w:sz w:val="20"/>
          <w:szCs w:val="20"/>
        </w:rPr>
        <w:t>W</w:t>
      </w:r>
      <w:r w:rsidRPr="007C25F9">
        <w:rPr>
          <w:rFonts w:ascii="Times New Roman" w:hAnsi="Times New Roman" w:cs="Times New Roman"/>
          <w:b/>
          <w:sz w:val="20"/>
          <w:szCs w:val="20"/>
        </w:rPr>
        <w:t xml:space="preserve">hen UE is going to perform PRS with the configured Pre-MG, UE shall inform network about the PRS measurement by </w:t>
      </w:r>
      <w:r w:rsidRPr="007C25F9">
        <w:rPr>
          <w:rFonts w:ascii="Times New Roman" w:hAnsi="Times New Roman" w:cs="Times New Roman"/>
          <w:b/>
          <w:i/>
          <w:sz w:val="20"/>
          <w:szCs w:val="20"/>
        </w:rPr>
        <w:t>LocationMeasurementIndication</w:t>
      </w:r>
      <w:r w:rsidRPr="007C25F9">
        <w:rPr>
          <w:rFonts w:ascii="Times New Roman" w:hAnsi="Times New Roman" w:cs="Times New Roman"/>
          <w:b/>
          <w:sz w:val="20"/>
          <w:szCs w:val="20"/>
        </w:rPr>
        <w:t xml:space="preserve"> IE only if UE has not informed</w:t>
      </w:r>
      <w:r>
        <w:rPr>
          <w:rFonts w:ascii="Times New Roman" w:hAnsi="Times New Roman" w:cs="Times New Roman"/>
          <w:b/>
          <w:sz w:val="20"/>
          <w:szCs w:val="20"/>
        </w:rPr>
        <w:t xml:space="preserve"> NW before pre-MG configuration</w:t>
      </w:r>
      <w:r w:rsidRPr="0038386A">
        <w:rPr>
          <w:rFonts w:ascii="Times New Roman" w:hAnsi="Times New Roman" w:cs="Times New Roman"/>
          <w:b/>
          <w:sz w:val="20"/>
          <w:szCs w:val="20"/>
        </w:rPr>
        <w:t>.</w:t>
      </w:r>
    </w:p>
    <w:tbl>
      <w:tblPr>
        <w:tblW w:w="833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9"/>
      </w:tblGrid>
      <w:tr w:rsidR="000A62AC" w:rsidTr="0053252A">
        <w:trPr>
          <w:trHeight w:val="1012"/>
        </w:trPr>
        <w:tc>
          <w:tcPr>
            <w:tcW w:w="8339" w:type="dxa"/>
          </w:tcPr>
          <w:p w:rsidR="000A62AC" w:rsidRPr="000A62AC" w:rsidRDefault="000A62AC" w:rsidP="000A62AC">
            <w:pPr>
              <w:rPr>
                <w:rFonts w:ascii="Times New Roman" w:hAnsi="Times New Roman" w:cs="Times New Roman"/>
                <w:color w:val="0070C0"/>
                <w:sz w:val="20"/>
                <w:szCs w:val="20"/>
              </w:rPr>
            </w:pPr>
            <w:r w:rsidRPr="000A62AC">
              <w:rPr>
                <w:rFonts w:ascii="Times New Roman" w:hAnsi="Times New Roman" w:cs="Times New Roman"/>
                <w:b/>
                <w:bCs/>
                <w:sz w:val="20"/>
                <w:szCs w:val="20"/>
                <w:u w:val="single"/>
              </w:rPr>
              <w:lastRenderedPageBreak/>
              <w:t>Trigger events for pre-MG activation/deactivation</w:t>
            </w:r>
            <w:r w:rsidRPr="000A62AC">
              <w:rPr>
                <w:rFonts w:ascii="Times New Roman" w:hAnsi="Times New Roman" w:cs="Times New Roman"/>
                <w:color w:val="0070C0"/>
                <w:sz w:val="20"/>
                <w:szCs w:val="20"/>
              </w:rPr>
              <w:t xml:space="preserve"> </w:t>
            </w:r>
          </w:p>
          <w:p w:rsidR="000A62AC" w:rsidRPr="000A62AC" w:rsidRDefault="000A62AC" w:rsidP="000A62AC">
            <w:pPr>
              <w:pStyle w:val="a7"/>
              <w:numPr>
                <w:ilvl w:val="1"/>
                <w:numId w:val="42"/>
              </w:numPr>
              <w:spacing w:after="120"/>
              <w:contextualSpacing w:val="0"/>
              <w:rPr>
                <w:sz w:val="20"/>
                <w:szCs w:val="20"/>
                <w:lang w:eastAsia="ja-JP"/>
              </w:rPr>
            </w:pPr>
            <w:r w:rsidRPr="000A62AC">
              <w:rPr>
                <w:sz w:val="20"/>
                <w:szCs w:val="20"/>
                <w:lang w:eastAsia="ja-JP"/>
              </w:rPr>
              <w:t>For UE to autonomous pre-MG activation/deactivation the following trigger events may change the pre-MG activation status</w:t>
            </w:r>
          </w:p>
          <w:p w:rsidR="000A62AC" w:rsidRPr="000A62AC" w:rsidRDefault="000A62AC" w:rsidP="000A62AC">
            <w:pPr>
              <w:pStyle w:val="a7"/>
              <w:numPr>
                <w:ilvl w:val="2"/>
                <w:numId w:val="42"/>
              </w:numPr>
              <w:spacing w:after="120"/>
              <w:contextualSpacing w:val="0"/>
              <w:rPr>
                <w:sz w:val="20"/>
                <w:szCs w:val="20"/>
                <w:lang w:eastAsia="ja-JP"/>
              </w:rPr>
            </w:pPr>
            <w:r w:rsidRPr="000A62AC">
              <w:rPr>
                <w:sz w:val="20"/>
                <w:szCs w:val="20"/>
                <w:lang w:eastAsia="ja-JP"/>
              </w:rPr>
              <w:t>BWP switching by DCI/Timer based</w:t>
            </w:r>
          </w:p>
          <w:p w:rsidR="000A62AC" w:rsidRPr="000A62AC" w:rsidRDefault="000A62AC" w:rsidP="000A62AC">
            <w:pPr>
              <w:pStyle w:val="a7"/>
              <w:numPr>
                <w:ilvl w:val="2"/>
                <w:numId w:val="42"/>
              </w:numPr>
              <w:spacing w:after="120"/>
              <w:contextualSpacing w:val="0"/>
              <w:rPr>
                <w:sz w:val="20"/>
                <w:szCs w:val="20"/>
                <w:lang w:eastAsia="ja-JP"/>
              </w:rPr>
            </w:pPr>
            <w:r w:rsidRPr="000A62AC">
              <w:rPr>
                <w:sz w:val="20"/>
                <w:szCs w:val="20"/>
                <w:lang w:eastAsia="ja-JP"/>
              </w:rPr>
              <w:t>activation/de-activation of SCell(s)</w:t>
            </w:r>
          </w:p>
          <w:p w:rsidR="000A62AC" w:rsidRPr="000A62AC" w:rsidRDefault="000A62AC" w:rsidP="000A62AC">
            <w:pPr>
              <w:pStyle w:val="a7"/>
              <w:numPr>
                <w:ilvl w:val="1"/>
                <w:numId w:val="42"/>
              </w:numPr>
              <w:spacing w:after="120"/>
              <w:contextualSpacing w:val="0"/>
              <w:rPr>
                <w:sz w:val="20"/>
                <w:szCs w:val="20"/>
                <w:lang w:eastAsia="ja-JP"/>
              </w:rPr>
            </w:pPr>
            <w:r w:rsidRPr="000A62AC">
              <w:rPr>
                <w:sz w:val="20"/>
                <w:szCs w:val="20"/>
                <w:lang w:eastAsia="ja-JP"/>
              </w:rPr>
              <w:t>FFS how to handle other cases in terms of UE and NW behavior</w:t>
            </w:r>
          </w:p>
          <w:p w:rsidR="000A62AC" w:rsidRPr="000A62AC" w:rsidRDefault="000A62AC" w:rsidP="000A62AC">
            <w:pPr>
              <w:pStyle w:val="a7"/>
              <w:numPr>
                <w:ilvl w:val="2"/>
                <w:numId w:val="42"/>
              </w:numPr>
              <w:spacing w:after="120"/>
              <w:contextualSpacing w:val="0"/>
              <w:rPr>
                <w:sz w:val="20"/>
                <w:szCs w:val="20"/>
                <w:lang w:eastAsia="ja-JP"/>
              </w:rPr>
            </w:pPr>
            <w:r w:rsidRPr="000A62AC">
              <w:rPr>
                <w:bCs/>
                <w:sz w:val="20"/>
                <w:szCs w:val="20"/>
              </w:rPr>
              <w:t>addition/removal of any measurement object(s)</w:t>
            </w:r>
          </w:p>
          <w:p w:rsidR="000A62AC" w:rsidRPr="000A62AC" w:rsidRDefault="000A62AC" w:rsidP="000A62AC">
            <w:pPr>
              <w:pStyle w:val="a7"/>
              <w:numPr>
                <w:ilvl w:val="2"/>
                <w:numId w:val="42"/>
              </w:numPr>
              <w:spacing w:after="120"/>
              <w:contextualSpacing w:val="0"/>
              <w:rPr>
                <w:sz w:val="20"/>
                <w:szCs w:val="20"/>
                <w:lang w:eastAsia="ja-JP"/>
              </w:rPr>
            </w:pPr>
            <w:r w:rsidRPr="000A62AC">
              <w:rPr>
                <w:sz w:val="20"/>
                <w:szCs w:val="20"/>
                <w:lang w:eastAsia="ja-JP"/>
              </w:rPr>
              <w:t xml:space="preserve">addition/release/change of a SCell under CA </w:t>
            </w:r>
          </w:p>
          <w:p w:rsidR="000A62AC" w:rsidRPr="000A62AC" w:rsidRDefault="000A62AC" w:rsidP="000A62AC">
            <w:pPr>
              <w:pStyle w:val="a7"/>
              <w:numPr>
                <w:ilvl w:val="2"/>
                <w:numId w:val="42"/>
              </w:numPr>
              <w:spacing w:after="120"/>
              <w:contextualSpacing w:val="0"/>
              <w:rPr>
                <w:sz w:val="20"/>
                <w:szCs w:val="20"/>
                <w:lang w:eastAsia="ja-JP"/>
              </w:rPr>
            </w:pPr>
            <w:r w:rsidRPr="000A62AC">
              <w:rPr>
                <w:sz w:val="20"/>
                <w:szCs w:val="20"/>
                <w:lang w:eastAsia="ja-JP"/>
              </w:rPr>
              <w:t>BWP switching by RRC</w:t>
            </w:r>
          </w:p>
          <w:p w:rsidR="000A62AC" w:rsidRPr="000A62AC" w:rsidRDefault="000A62AC" w:rsidP="000A62AC">
            <w:pPr>
              <w:pStyle w:val="a7"/>
              <w:numPr>
                <w:ilvl w:val="2"/>
                <w:numId w:val="42"/>
              </w:numPr>
              <w:spacing w:after="120"/>
              <w:contextualSpacing w:val="0"/>
              <w:rPr>
                <w:lang w:eastAsia="ja-JP"/>
              </w:rPr>
            </w:pPr>
            <w:r w:rsidRPr="000A62AC">
              <w:rPr>
                <w:sz w:val="20"/>
                <w:szCs w:val="20"/>
                <w:lang w:eastAsia="ja-JP"/>
              </w:rPr>
              <w:t>LPP positioning request</w:t>
            </w:r>
          </w:p>
        </w:tc>
      </w:tr>
    </w:tbl>
    <w:p w:rsidR="00275565" w:rsidRDefault="005C79FF" w:rsidP="00275565">
      <w:pPr>
        <w:rPr>
          <w:rFonts w:ascii="Times New Roman" w:hAnsi="Times New Roman" w:cs="Times New Roman"/>
          <w:sz w:val="20"/>
          <w:szCs w:val="20"/>
        </w:rPr>
      </w:pPr>
      <w:r>
        <w:rPr>
          <w:rFonts w:ascii="Times New Roman" w:hAnsi="Times New Roman" w:cs="Times New Roman" w:hint="eastAsia"/>
          <w:bCs/>
          <w:sz w:val="20"/>
          <w:szCs w:val="20"/>
        </w:rPr>
        <w:t>In</w:t>
      </w:r>
      <w:r>
        <w:rPr>
          <w:rFonts w:ascii="Times New Roman" w:hAnsi="Times New Roman" w:cs="Times New Roman"/>
          <w:bCs/>
          <w:sz w:val="20"/>
          <w:szCs w:val="20"/>
        </w:rPr>
        <w:t xml:space="preserve"> last RAN4 meeting, it was agreed that </w:t>
      </w:r>
      <w:r w:rsidR="000A62AC">
        <w:rPr>
          <w:rFonts w:ascii="Times New Roman" w:hAnsi="Times New Roman" w:cs="Times New Roman"/>
          <w:bCs/>
          <w:sz w:val="20"/>
          <w:szCs w:val="20"/>
        </w:rPr>
        <w:t xml:space="preserve">the activation/de-activation of SCell(s) is considered as the trigger event for </w:t>
      </w:r>
      <w:r>
        <w:rPr>
          <w:rFonts w:ascii="Times New Roman" w:hAnsi="Times New Roman" w:cs="Times New Roman"/>
          <w:bCs/>
          <w:sz w:val="20"/>
          <w:szCs w:val="20"/>
        </w:rPr>
        <w:t>UE autonomous pre-MG activation/deactivation, and</w:t>
      </w:r>
      <w:r w:rsidR="000A62AC">
        <w:rPr>
          <w:rFonts w:ascii="Times New Roman" w:hAnsi="Times New Roman" w:cs="Times New Roman"/>
          <w:bCs/>
          <w:sz w:val="20"/>
          <w:szCs w:val="20"/>
        </w:rPr>
        <w:t xml:space="preserve"> FFS the other</w:t>
      </w:r>
      <w:r>
        <w:rPr>
          <w:rFonts w:ascii="Times New Roman" w:hAnsi="Times New Roman" w:cs="Times New Roman"/>
          <w:bCs/>
          <w:sz w:val="20"/>
          <w:szCs w:val="20"/>
        </w:rPr>
        <w:t xml:space="preserve"> triggering events for UE autonomous pre-MG activation/deactivation. </w:t>
      </w:r>
      <w:r w:rsidR="00275565">
        <w:rPr>
          <w:rFonts w:ascii="Times New Roman" w:hAnsi="Times New Roman" w:cs="Times New Roman"/>
          <w:sz w:val="20"/>
          <w:szCs w:val="20"/>
        </w:rPr>
        <w:t xml:space="preserve">In my understanding, UE may need to autonomously to update the status (activation/deactivation) of Pre-MG with the measurement </w:t>
      </w:r>
      <w:r w:rsidR="000A62AC">
        <w:rPr>
          <w:rFonts w:ascii="Times New Roman" w:hAnsi="Times New Roman" w:cs="Times New Roman"/>
          <w:sz w:val="20"/>
          <w:szCs w:val="20"/>
        </w:rPr>
        <w:t>changes due to any of the following operations</w:t>
      </w:r>
      <w:r w:rsidR="00275565">
        <w:rPr>
          <w:rFonts w:ascii="Times New Roman" w:hAnsi="Times New Roman" w:cs="Times New Roman"/>
          <w:sz w:val="20"/>
          <w:szCs w:val="20"/>
        </w:rPr>
        <w:t>:</w:t>
      </w:r>
    </w:p>
    <w:p w:rsidR="00275565" w:rsidRPr="00555FD0" w:rsidRDefault="00275565" w:rsidP="00275565">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 xml:space="preserve">BWP switching  </w:t>
      </w:r>
    </w:p>
    <w:p w:rsidR="00275565" w:rsidRPr="00555FD0" w:rsidRDefault="00275565" w:rsidP="00275565">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adding/removing any measurement object(s),</w:t>
      </w:r>
    </w:p>
    <w:p w:rsidR="00275565" w:rsidRPr="00555FD0" w:rsidRDefault="00275565" w:rsidP="00275565">
      <w:pPr>
        <w:numPr>
          <w:ilvl w:val="0"/>
          <w:numId w:val="21"/>
        </w:numPr>
        <w:rPr>
          <w:rFonts w:ascii="Times New Roman" w:hAnsi="Times New Roman" w:cs="Times New Roman"/>
          <w:bCs/>
          <w:sz w:val="20"/>
          <w:szCs w:val="20"/>
        </w:rPr>
      </w:pPr>
      <w:r>
        <w:rPr>
          <w:rFonts w:ascii="Times New Roman" w:hAnsi="Times New Roman" w:cs="Times New Roman"/>
          <w:bCs/>
          <w:sz w:val="20"/>
          <w:szCs w:val="20"/>
        </w:rPr>
        <w:t xml:space="preserve">adding/releasing/changing </w:t>
      </w:r>
      <w:r w:rsidRPr="00555FD0">
        <w:rPr>
          <w:rFonts w:ascii="Times New Roman" w:hAnsi="Times New Roman" w:cs="Times New Roman"/>
          <w:bCs/>
          <w:sz w:val="20"/>
          <w:szCs w:val="20"/>
        </w:rPr>
        <w:t>SCell</w:t>
      </w:r>
      <w:r>
        <w:rPr>
          <w:rFonts w:ascii="Times New Roman" w:hAnsi="Times New Roman" w:cs="Times New Roman"/>
          <w:bCs/>
          <w:sz w:val="20"/>
          <w:szCs w:val="20"/>
        </w:rPr>
        <w:t>(s)</w:t>
      </w:r>
      <w:r w:rsidRPr="00555FD0">
        <w:rPr>
          <w:rFonts w:ascii="Times New Roman" w:hAnsi="Times New Roman" w:cs="Times New Roman"/>
          <w:bCs/>
          <w:sz w:val="20"/>
          <w:szCs w:val="20"/>
        </w:rPr>
        <w:t xml:space="preserve">, </w:t>
      </w:r>
    </w:p>
    <w:p w:rsidR="00275565" w:rsidRPr="00555FD0" w:rsidRDefault="00275565" w:rsidP="00275565">
      <w:pPr>
        <w:numPr>
          <w:ilvl w:val="0"/>
          <w:numId w:val="21"/>
        </w:numPr>
        <w:rPr>
          <w:rFonts w:ascii="Times New Roman" w:hAnsi="Times New Roman" w:cs="Times New Roman"/>
          <w:bCs/>
          <w:sz w:val="20"/>
          <w:szCs w:val="20"/>
        </w:rPr>
      </w:pPr>
      <w:r w:rsidRPr="00275565">
        <w:rPr>
          <w:rFonts w:ascii="Times New Roman" w:hAnsi="Times New Roman" w:cs="Times New Roman"/>
          <w:bCs/>
          <w:sz w:val="20"/>
          <w:szCs w:val="20"/>
        </w:rPr>
        <w:t>LPP positioning request</w:t>
      </w:r>
    </w:p>
    <w:p w:rsidR="00275565" w:rsidRPr="0038386A" w:rsidRDefault="00275565" w:rsidP="00275565">
      <w:pPr>
        <w:spacing w:before="240"/>
        <w:rPr>
          <w:rFonts w:ascii="Times New Roman" w:hAnsi="Times New Roman" w:cs="Times New Roman"/>
          <w:b/>
          <w:sz w:val="20"/>
          <w:szCs w:val="20"/>
        </w:rPr>
      </w:pPr>
      <w:r w:rsidRPr="0038386A">
        <w:rPr>
          <w:rFonts w:ascii="Times New Roman" w:hAnsi="Times New Roman" w:cs="Times New Roman"/>
          <w:b/>
          <w:sz w:val="20"/>
          <w:szCs w:val="20"/>
        </w:rPr>
        <w:t xml:space="preserve">Proposal </w:t>
      </w:r>
      <w:r w:rsidR="000A62AC">
        <w:rPr>
          <w:rFonts w:ascii="Times New Roman" w:hAnsi="Times New Roman" w:cs="Times New Roman"/>
          <w:b/>
          <w:sz w:val="20"/>
          <w:szCs w:val="20"/>
        </w:rPr>
        <w:t>2</w:t>
      </w:r>
      <w:r w:rsidRPr="0038386A">
        <w:rPr>
          <w:rFonts w:ascii="Times New Roman" w:hAnsi="Times New Roman" w:cs="Times New Roman"/>
          <w:b/>
          <w:sz w:val="20"/>
          <w:szCs w:val="20"/>
        </w:rPr>
        <w:t xml:space="preserve">: </w:t>
      </w:r>
      <w:r w:rsidR="00E24D7C" w:rsidRPr="0038386A">
        <w:rPr>
          <w:rFonts w:ascii="Times New Roman" w:hAnsi="Times New Roman" w:cs="Times New Roman"/>
          <w:b/>
          <w:sz w:val="20"/>
          <w:szCs w:val="20"/>
        </w:rPr>
        <w:t>For UE autonomous pre-MG activation/deactivation, t</w:t>
      </w:r>
      <w:r w:rsidRPr="0038386A">
        <w:rPr>
          <w:rFonts w:ascii="Times New Roman" w:hAnsi="Times New Roman" w:cs="Times New Roman"/>
          <w:b/>
          <w:sz w:val="20"/>
          <w:szCs w:val="20"/>
        </w:rPr>
        <w:t>he trigger events that may change the status of pre-MG configured to UE include:</w:t>
      </w:r>
    </w:p>
    <w:p w:rsidR="00275565" w:rsidRPr="0038386A" w:rsidRDefault="00275565" w:rsidP="00275565">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 xml:space="preserve">BWP switching  </w:t>
      </w:r>
    </w:p>
    <w:p w:rsidR="00275565" w:rsidRPr="0038386A" w:rsidRDefault="00275565" w:rsidP="00275565">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adding/removing any measurement object(s),</w:t>
      </w:r>
    </w:p>
    <w:p w:rsidR="00275565" w:rsidRPr="0038386A" w:rsidRDefault="00275565" w:rsidP="00275565">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 xml:space="preserve">adding/releasing/changing SCell(s), </w:t>
      </w:r>
    </w:p>
    <w:p w:rsidR="00275565" w:rsidRPr="0038386A" w:rsidRDefault="00275565" w:rsidP="00275565">
      <w:pPr>
        <w:numPr>
          <w:ilvl w:val="0"/>
          <w:numId w:val="21"/>
        </w:numPr>
        <w:spacing w:after="240"/>
        <w:rPr>
          <w:rFonts w:ascii="Times New Roman" w:hAnsi="Times New Roman" w:cs="Times New Roman"/>
          <w:b/>
          <w:sz w:val="20"/>
          <w:szCs w:val="20"/>
        </w:rPr>
      </w:pPr>
      <w:r w:rsidRPr="0038386A">
        <w:rPr>
          <w:rFonts w:ascii="Times New Roman" w:hAnsi="Times New Roman" w:cs="Times New Roman"/>
          <w:b/>
          <w:sz w:val="20"/>
          <w:szCs w:val="20"/>
        </w:rPr>
        <w:t>LPP positioning request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D57BEC" w:rsidTr="00D57BEC">
        <w:trPr>
          <w:trHeight w:val="1149"/>
        </w:trPr>
        <w:tc>
          <w:tcPr>
            <w:tcW w:w="8290" w:type="dxa"/>
          </w:tcPr>
          <w:p w:rsidR="00EA6601" w:rsidRPr="00EA6601" w:rsidRDefault="00EA6601" w:rsidP="00EA6601">
            <w:pPr>
              <w:rPr>
                <w:rFonts w:ascii="Times New Roman" w:hAnsi="Times New Roman" w:cs="Times New Roman"/>
                <w:b/>
                <w:color w:val="0070C0"/>
                <w:sz w:val="20"/>
                <w:szCs w:val="20"/>
              </w:rPr>
            </w:pPr>
            <w:r w:rsidRPr="00EA6601">
              <w:rPr>
                <w:rFonts w:ascii="Times New Roman" w:hAnsi="Times New Roman" w:cs="Times New Roman"/>
                <w:b/>
                <w:bCs/>
                <w:sz w:val="20"/>
                <w:szCs w:val="20"/>
                <w:u w:val="single"/>
              </w:rPr>
              <w:t>Criteria for the signaling-based pre-MG (de)activation under CA</w:t>
            </w:r>
            <w:r w:rsidRPr="00EA6601">
              <w:rPr>
                <w:rFonts w:ascii="Times New Roman" w:hAnsi="Times New Roman" w:cs="Times New Roman"/>
                <w:b/>
                <w:color w:val="0070C0"/>
                <w:sz w:val="20"/>
                <w:szCs w:val="20"/>
              </w:rPr>
              <w:t xml:space="preserve"> </w:t>
            </w:r>
          </w:p>
          <w:p w:rsidR="00EA6601" w:rsidRPr="00EA6601" w:rsidRDefault="00EA6601" w:rsidP="00EA6601">
            <w:pPr>
              <w:rPr>
                <w:rFonts w:ascii="Times New Roman" w:hAnsi="Times New Roman" w:cs="Times New Roman"/>
                <w:bCs/>
                <w:sz w:val="20"/>
                <w:szCs w:val="20"/>
              </w:rPr>
            </w:pPr>
            <w:r w:rsidRPr="00EA6601">
              <w:rPr>
                <w:rFonts w:ascii="Times New Roman" w:hAnsi="Times New Roman" w:cs="Times New Roman"/>
                <w:bCs/>
                <w:sz w:val="20"/>
                <w:szCs w:val="20"/>
              </w:rPr>
              <w:t>The principle for the signaling-based Pre-MG (de)activation under CA can be based on:</w:t>
            </w:r>
          </w:p>
          <w:p w:rsidR="00EA6601" w:rsidRPr="00EA6601" w:rsidRDefault="00EA6601" w:rsidP="00EA6601">
            <w:pPr>
              <w:pStyle w:val="a7"/>
              <w:numPr>
                <w:ilvl w:val="0"/>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NW will forward the per-BWP pre-MG status indications to UE by RRC message, which is defined for each of induvial CCs (e.g. Table S1, S2 for the CC1 and CC2 respectively)</w:t>
            </w:r>
          </w:p>
          <w:p w:rsidR="00EA6601" w:rsidRPr="00EA6601" w:rsidRDefault="00EA6601" w:rsidP="00EA6601">
            <w:pPr>
              <w:pStyle w:val="a7"/>
              <w:numPr>
                <w:ilvl w:val="0"/>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UE will combined the pre-MG status indication from NW for each induvial CC for all configured measurement objects.</w:t>
            </w:r>
          </w:p>
          <w:p w:rsidR="00EA6601" w:rsidRPr="00EA6601" w:rsidRDefault="00EA6601" w:rsidP="00EA6601">
            <w:pPr>
              <w:pStyle w:val="a7"/>
              <w:numPr>
                <w:ilvl w:val="0"/>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FFS on the rules on how to combine the individual per-BWP pre-MG status .</w:t>
            </w:r>
          </w:p>
          <w:p w:rsidR="00EA6601" w:rsidRPr="00EA6601" w:rsidRDefault="00EA6601" w:rsidP="00EA6601">
            <w:pPr>
              <w:pStyle w:val="a7"/>
              <w:numPr>
                <w:ilvl w:val="1"/>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Option 1a</w:t>
            </w:r>
          </w:p>
          <w:p w:rsidR="00EA6601" w:rsidRPr="00EA6601" w:rsidRDefault="00EA6601" w:rsidP="00EA6601">
            <w:pPr>
              <w:pStyle w:val="a7"/>
              <w:numPr>
                <w:ilvl w:val="2"/>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 xml:space="preserve">When configured with per-UE gap, </w:t>
            </w:r>
          </w:p>
          <w:p w:rsidR="00EA6601" w:rsidRPr="00EA6601" w:rsidRDefault="00EA6601" w:rsidP="00EA6601">
            <w:pPr>
              <w:pStyle w:val="a7"/>
              <w:numPr>
                <w:ilvl w:val="3"/>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 xml:space="preserve">assume the per-UE gap is ON as long as the pre-MG status of active DL BWP in one of the CCs is ON, </w:t>
            </w:r>
          </w:p>
          <w:p w:rsidR="00EA6601" w:rsidRPr="00EA6601" w:rsidRDefault="00EA6601" w:rsidP="00EA6601">
            <w:pPr>
              <w:pStyle w:val="a7"/>
              <w:numPr>
                <w:ilvl w:val="3"/>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 xml:space="preserve">and assume the per-UE gap is OFF only if the pre-MG status of active DL BWP in all CCs are OFF. </w:t>
            </w:r>
          </w:p>
          <w:p w:rsidR="00EA6601" w:rsidRPr="00EA6601" w:rsidRDefault="00EA6601" w:rsidP="00EA6601">
            <w:pPr>
              <w:pStyle w:val="a7"/>
              <w:numPr>
                <w:ilvl w:val="2"/>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 xml:space="preserve">When configured with per-FR gap, </w:t>
            </w:r>
          </w:p>
          <w:p w:rsidR="00EA6601" w:rsidRPr="00EA6601" w:rsidRDefault="00EA6601" w:rsidP="00EA6601">
            <w:pPr>
              <w:pStyle w:val="a7"/>
              <w:numPr>
                <w:ilvl w:val="3"/>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lastRenderedPageBreak/>
              <w:t xml:space="preserve">assume the gap is ON as long as the pre-MG status of active DL BWP in one of the CCs in the same FR is ON, </w:t>
            </w:r>
          </w:p>
          <w:p w:rsidR="00EA6601" w:rsidRPr="00EA6601" w:rsidRDefault="00EA6601" w:rsidP="00EA6601">
            <w:pPr>
              <w:pStyle w:val="a7"/>
              <w:numPr>
                <w:ilvl w:val="3"/>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and assume the gap is OFF only if the pre-MG status of active DL active DL BWP in all CCs in the same FR are OFF</w:t>
            </w:r>
          </w:p>
          <w:p w:rsidR="00EA6601" w:rsidRPr="00EA6601" w:rsidRDefault="00EA6601" w:rsidP="00EA6601">
            <w:pPr>
              <w:pStyle w:val="a7"/>
              <w:numPr>
                <w:ilvl w:val="1"/>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 xml:space="preserve">Option 1b </w:t>
            </w:r>
          </w:p>
          <w:p w:rsidR="00EA6601" w:rsidRPr="00EA6601" w:rsidRDefault="00EA6601" w:rsidP="00EA6601">
            <w:pPr>
              <w:pStyle w:val="a7"/>
              <w:numPr>
                <w:ilvl w:val="2"/>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 xml:space="preserve">For per-UE pre-MG, </w:t>
            </w:r>
          </w:p>
          <w:p w:rsidR="00EA6601" w:rsidRPr="00EA6601" w:rsidRDefault="00EA6601" w:rsidP="00EA6601">
            <w:pPr>
              <w:pStyle w:val="a7"/>
              <w:numPr>
                <w:ilvl w:val="3"/>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 xml:space="preserve">UE assumes the pre-MG is ON as long as the pre-MG status for active DL BWP in one of the activated CCs or for one of the deactivated SCCs is ON, </w:t>
            </w:r>
          </w:p>
          <w:p w:rsidR="00EA6601" w:rsidRPr="00EA6601" w:rsidRDefault="00EA6601" w:rsidP="00EA6601">
            <w:pPr>
              <w:pStyle w:val="a7"/>
              <w:numPr>
                <w:ilvl w:val="3"/>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 xml:space="preserve">and assume the pre-MG is OFF only if the pre-MG status for active DL BWP in all activated CCs and for all deactivated SCCs are OFF. </w:t>
            </w:r>
          </w:p>
          <w:p w:rsidR="00EA6601" w:rsidRPr="00EA6601" w:rsidRDefault="00EA6601" w:rsidP="00EA6601">
            <w:pPr>
              <w:pStyle w:val="a7"/>
              <w:numPr>
                <w:ilvl w:val="2"/>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 xml:space="preserve">For per-FR pre-MG, </w:t>
            </w:r>
          </w:p>
          <w:p w:rsidR="00EA6601" w:rsidRPr="00EA6601" w:rsidRDefault="00EA6601" w:rsidP="00EA6601">
            <w:pPr>
              <w:pStyle w:val="a7"/>
              <w:numPr>
                <w:ilvl w:val="3"/>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 xml:space="preserve">UE assumes the pre-MG is ON as long as the pre-MG status for active DL BWP in one of the activated CCs or for one of the deactivated SCCs in the same FR is ON, </w:t>
            </w:r>
          </w:p>
          <w:p w:rsidR="00EA6601" w:rsidRPr="00EA6601" w:rsidRDefault="00EA6601" w:rsidP="00EA6601">
            <w:pPr>
              <w:pStyle w:val="a7"/>
              <w:numPr>
                <w:ilvl w:val="3"/>
                <w:numId w:val="38"/>
              </w:numPr>
              <w:overflowPunct w:val="0"/>
              <w:autoSpaceDE w:val="0"/>
              <w:autoSpaceDN w:val="0"/>
              <w:adjustRightInd w:val="0"/>
              <w:contextualSpacing w:val="0"/>
              <w:textAlignment w:val="baseline"/>
              <w:rPr>
                <w:rFonts w:eastAsiaTheme="minorEastAsia"/>
                <w:sz w:val="20"/>
                <w:szCs w:val="20"/>
              </w:rPr>
            </w:pPr>
            <w:r w:rsidRPr="00EA6601">
              <w:rPr>
                <w:rFonts w:eastAsiaTheme="minorEastAsia"/>
                <w:sz w:val="20"/>
                <w:szCs w:val="20"/>
              </w:rPr>
              <w:t>and assume the pre-MG is OFF only if the pre-MG status for active DL BWP in all activated CCs and for all deactivated SCCs in the same FR are OFF</w:t>
            </w:r>
          </w:p>
        </w:tc>
      </w:tr>
    </w:tbl>
    <w:p w:rsidR="002439A5" w:rsidRDefault="008D3645" w:rsidP="002439A5">
      <w:pPr>
        <w:rPr>
          <w:rFonts w:ascii="Times New Roman" w:hAnsi="Times New Roman" w:cs="Times New Roman"/>
          <w:bCs/>
          <w:sz w:val="20"/>
          <w:szCs w:val="20"/>
        </w:rPr>
      </w:pPr>
      <w:r>
        <w:rPr>
          <w:rFonts w:ascii="Times New Roman" w:hAnsi="Times New Roman" w:cs="Times New Roman"/>
          <w:bCs/>
          <w:sz w:val="20"/>
          <w:szCs w:val="20"/>
        </w:rPr>
        <w:lastRenderedPageBreak/>
        <w:t xml:space="preserve">The difference between option 1a and option 1b is whether the deactivated SCell should be considered </w:t>
      </w:r>
      <w:r w:rsidR="00853B11">
        <w:rPr>
          <w:rFonts w:ascii="Times New Roman" w:hAnsi="Times New Roman" w:cs="Times New Roman"/>
          <w:bCs/>
          <w:sz w:val="20"/>
          <w:szCs w:val="20"/>
        </w:rPr>
        <w:t>for the rules on how to combine the individual per-BWP</w:t>
      </w:r>
      <w:r>
        <w:rPr>
          <w:rFonts w:ascii="Times New Roman" w:hAnsi="Times New Roman" w:cs="Times New Roman"/>
          <w:bCs/>
          <w:sz w:val="20"/>
          <w:szCs w:val="20"/>
        </w:rPr>
        <w:t xml:space="preserve"> pre-MG </w:t>
      </w:r>
      <w:r w:rsidR="00853B11">
        <w:rPr>
          <w:rFonts w:ascii="Times New Roman" w:hAnsi="Times New Roman" w:cs="Times New Roman"/>
          <w:bCs/>
          <w:sz w:val="20"/>
          <w:szCs w:val="20"/>
        </w:rPr>
        <w:t>status</w:t>
      </w:r>
      <w:r>
        <w:rPr>
          <w:rFonts w:ascii="Times New Roman" w:hAnsi="Times New Roman" w:cs="Times New Roman"/>
          <w:bCs/>
          <w:sz w:val="20"/>
          <w:szCs w:val="20"/>
        </w:rPr>
        <w:t>.</w:t>
      </w:r>
      <w:r w:rsidR="00853B11">
        <w:rPr>
          <w:rFonts w:ascii="Times New Roman" w:hAnsi="Times New Roman" w:cs="Times New Roman"/>
          <w:bCs/>
          <w:sz w:val="20"/>
          <w:szCs w:val="20"/>
        </w:rPr>
        <w:t xml:space="preserve"> According to the discussion in last meeting, we think the deactivated SCell should be considered for combining in case of inter-frequency measurement without gap.</w:t>
      </w:r>
    </w:p>
    <w:p w:rsidR="00481E68" w:rsidRDefault="00481E68" w:rsidP="00853B11">
      <w:pPr>
        <w:spacing w:before="240"/>
        <w:rPr>
          <w:rFonts w:ascii="Times New Roman" w:hAnsi="Times New Roman" w:cs="Times New Roman"/>
          <w:b/>
          <w:sz w:val="20"/>
          <w:szCs w:val="20"/>
        </w:rPr>
      </w:pPr>
      <w:r w:rsidRPr="00481E68">
        <w:rPr>
          <w:rFonts w:ascii="Times New Roman" w:hAnsi="Times New Roman" w:cs="Times New Roman"/>
          <w:b/>
          <w:sz w:val="20"/>
          <w:szCs w:val="20"/>
        </w:rPr>
        <w:t xml:space="preserve">Proposal </w:t>
      </w:r>
      <w:r w:rsidR="00853B11">
        <w:rPr>
          <w:rFonts w:ascii="Times New Roman" w:hAnsi="Times New Roman" w:cs="Times New Roman"/>
          <w:b/>
          <w:sz w:val="20"/>
          <w:szCs w:val="20"/>
        </w:rPr>
        <w:t>3</w:t>
      </w:r>
      <w:r w:rsidRPr="00481E68">
        <w:rPr>
          <w:rFonts w:ascii="Times New Roman" w:hAnsi="Times New Roman" w:cs="Times New Roman"/>
          <w:b/>
          <w:sz w:val="20"/>
          <w:szCs w:val="20"/>
        </w:rPr>
        <w:t xml:space="preserve">: </w:t>
      </w:r>
      <w:r w:rsidR="00853B11">
        <w:rPr>
          <w:rFonts w:ascii="Times New Roman" w:hAnsi="Times New Roman" w:cs="Times New Roman"/>
          <w:b/>
          <w:sz w:val="20"/>
          <w:szCs w:val="20"/>
        </w:rPr>
        <w:t>T</w:t>
      </w:r>
      <w:r w:rsidR="00853B11" w:rsidRPr="00853B11">
        <w:rPr>
          <w:rFonts w:ascii="Times New Roman" w:hAnsi="Times New Roman" w:cs="Times New Roman"/>
          <w:b/>
          <w:sz w:val="20"/>
          <w:szCs w:val="20"/>
        </w:rPr>
        <w:t xml:space="preserve">he rules on how to combine the individual per-BWP pre-MG status </w:t>
      </w:r>
      <w:r w:rsidR="00853B11">
        <w:rPr>
          <w:rFonts w:ascii="Times New Roman" w:hAnsi="Times New Roman" w:cs="Times New Roman"/>
          <w:b/>
          <w:sz w:val="20"/>
          <w:szCs w:val="20"/>
        </w:rPr>
        <w:t>is defined as follows:</w:t>
      </w:r>
    </w:p>
    <w:p w:rsidR="00853B11" w:rsidRPr="00853B11" w:rsidRDefault="00853B11" w:rsidP="00853B11">
      <w:pPr>
        <w:pStyle w:val="a7"/>
        <w:numPr>
          <w:ilvl w:val="2"/>
          <w:numId w:val="38"/>
        </w:numPr>
        <w:overflowPunct w:val="0"/>
        <w:autoSpaceDE w:val="0"/>
        <w:autoSpaceDN w:val="0"/>
        <w:adjustRightInd w:val="0"/>
        <w:ind w:left="426"/>
        <w:contextualSpacing w:val="0"/>
        <w:textAlignment w:val="baseline"/>
        <w:rPr>
          <w:rFonts w:eastAsiaTheme="minorEastAsia"/>
          <w:b/>
          <w:sz w:val="20"/>
          <w:szCs w:val="20"/>
        </w:rPr>
      </w:pPr>
      <w:r w:rsidRPr="00853B11">
        <w:rPr>
          <w:rFonts w:eastAsiaTheme="minorEastAsia"/>
          <w:b/>
          <w:sz w:val="20"/>
          <w:szCs w:val="20"/>
        </w:rPr>
        <w:t xml:space="preserve">For per-UE pre-MG, </w:t>
      </w:r>
    </w:p>
    <w:p w:rsidR="00853B11" w:rsidRPr="00853B11" w:rsidRDefault="00853B11" w:rsidP="00853B11">
      <w:pPr>
        <w:pStyle w:val="a7"/>
        <w:numPr>
          <w:ilvl w:val="3"/>
          <w:numId w:val="38"/>
        </w:numPr>
        <w:overflowPunct w:val="0"/>
        <w:autoSpaceDE w:val="0"/>
        <w:autoSpaceDN w:val="0"/>
        <w:adjustRightInd w:val="0"/>
        <w:ind w:left="851"/>
        <w:contextualSpacing w:val="0"/>
        <w:textAlignment w:val="baseline"/>
        <w:rPr>
          <w:rFonts w:eastAsiaTheme="minorEastAsia"/>
          <w:b/>
          <w:sz w:val="20"/>
          <w:szCs w:val="20"/>
        </w:rPr>
      </w:pPr>
      <w:r w:rsidRPr="00853B11">
        <w:rPr>
          <w:rFonts w:eastAsiaTheme="minorEastAsia"/>
          <w:b/>
          <w:sz w:val="20"/>
          <w:szCs w:val="20"/>
        </w:rPr>
        <w:t xml:space="preserve">UE assumes the pre-MG is ON as long as the pre-MG status for active DL BWP in one of the activated CCs or for one of the deactivated SCCs is ON, </w:t>
      </w:r>
    </w:p>
    <w:p w:rsidR="00853B11" w:rsidRPr="00853B11" w:rsidRDefault="00853B11" w:rsidP="00853B11">
      <w:pPr>
        <w:pStyle w:val="a7"/>
        <w:numPr>
          <w:ilvl w:val="3"/>
          <w:numId w:val="38"/>
        </w:numPr>
        <w:overflowPunct w:val="0"/>
        <w:autoSpaceDE w:val="0"/>
        <w:autoSpaceDN w:val="0"/>
        <w:adjustRightInd w:val="0"/>
        <w:ind w:left="851"/>
        <w:contextualSpacing w:val="0"/>
        <w:textAlignment w:val="baseline"/>
        <w:rPr>
          <w:rFonts w:eastAsiaTheme="minorEastAsia"/>
          <w:b/>
          <w:sz w:val="20"/>
          <w:szCs w:val="20"/>
        </w:rPr>
      </w:pPr>
      <w:r w:rsidRPr="00853B11">
        <w:rPr>
          <w:rFonts w:eastAsiaTheme="minorEastAsia"/>
          <w:b/>
          <w:sz w:val="20"/>
          <w:szCs w:val="20"/>
        </w:rPr>
        <w:t xml:space="preserve">and assume the pre-MG is OFF only if the pre-MG status for active DL BWP in all activated CCs and for all deactivated SCCs are OFF. </w:t>
      </w:r>
    </w:p>
    <w:p w:rsidR="00853B11" w:rsidRPr="00853B11" w:rsidRDefault="00853B11" w:rsidP="00853B11">
      <w:pPr>
        <w:pStyle w:val="a7"/>
        <w:numPr>
          <w:ilvl w:val="2"/>
          <w:numId w:val="38"/>
        </w:numPr>
        <w:overflowPunct w:val="0"/>
        <w:autoSpaceDE w:val="0"/>
        <w:autoSpaceDN w:val="0"/>
        <w:adjustRightInd w:val="0"/>
        <w:ind w:left="426"/>
        <w:contextualSpacing w:val="0"/>
        <w:textAlignment w:val="baseline"/>
        <w:rPr>
          <w:rFonts w:eastAsiaTheme="minorEastAsia"/>
          <w:b/>
          <w:sz w:val="20"/>
          <w:szCs w:val="20"/>
        </w:rPr>
      </w:pPr>
      <w:r w:rsidRPr="00853B11">
        <w:rPr>
          <w:rFonts w:eastAsiaTheme="minorEastAsia"/>
          <w:b/>
          <w:sz w:val="20"/>
          <w:szCs w:val="20"/>
        </w:rPr>
        <w:t xml:space="preserve">For per-FR pre-MG, </w:t>
      </w:r>
    </w:p>
    <w:p w:rsidR="00853B11" w:rsidRPr="00853B11" w:rsidRDefault="00853B11" w:rsidP="00853B11">
      <w:pPr>
        <w:pStyle w:val="a7"/>
        <w:numPr>
          <w:ilvl w:val="3"/>
          <w:numId w:val="38"/>
        </w:numPr>
        <w:overflowPunct w:val="0"/>
        <w:autoSpaceDE w:val="0"/>
        <w:autoSpaceDN w:val="0"/>
        <w:adjustRightInd w:val="0"/>
        <w:ind w:left="851"/>
        <w:contextualSpacing w:val="0"/>
        <w:textAlignment w:val="baseline"/>
        <w:rPr>
          <w:rFonts w:eastAsiaTheme="minorEastAsia"/>
          <w:b/>
          <w:sz w:val="20"/>
          <w:szCs w:val="20"/>
        </w:rPr>
      </w:pPr>
      <w:r w:rsidRPr="00853B11">
        <w:rPr>
          <w:rFonts w:eastAsiaTheme="minorEastAsia"/>
          <w:b/>
          <w:sz w:val="20"/>
          <w:szCs w:val="20"/>
        </w:rPr>
        <w:t xml:space="preserve">UE assumes the pre-MG is ON as long as the pre-MG status for active DL BWP in one of the activated CCs or for one of the deactivated SCCs in the same FR is ON, </w:t>
      </w:r>
    </w:p>
    <w:p w:rsidR="00C24CDA" w:rsidRPr="00853B11" w:rsidRDefault="00853B11" w:rsidP="00853B11">
      <w:pPr>
        <w:pStyle w:val="a7"/>
        <w:numPr>
          <w:ilvl w:val="3"/>
          <w:numId w:val="38"/>
        </w:numPr>
        <w:overflowPunct w:val="0"/>
        <w:autoSpaceDE w:val="0"/>
        <w:autoSpaceDN w:val="0"/>
        <w:adjustRightInd w:val="0"/>
        <w:spacing w:after="240"/>
        <w:ind w:left="851"/>
        <w:contextualSpacing w:val="0"/>
        <w:textAlignment w:val="baseline"/>
        <w:rPr>
          <w:rFonts w:eastAsiaTheme="minorEastAsia"/>
          <w:b/>
          <w:sz w:val="20"/>
          <w:szCs w:val="20"/>
        </w:rPr>
      </w:pPr>
      <w:r w:rsidRPr="00853B11">
        <w:rPr>
          <w:rFonts w:eastAsiaTheme="minorEastAsia"/>
          <w:b/>
          <w:sz w:val="20"/>
          <w:szCs w:val="20"/>
        </w:rPr>
        <w:t>and assume the pre-MG is OFF only if the pre-MG status for active DL BWP in all activated CCs and for all deactivated SCCs in the same FR are OFF.</w:t>
      </w:r>
    </w:p>
    <w:p w:rsidR="00B12D1E" w:rsidRPr="00B12D1E" w:rsidRDefault="002323B2" w:rsidP="00F03B58">
      <w:pPr>
        <w:rPr>
          <w:rFonts w:ascii="Times New Roman" w:hAnsi="Times New Roman" w:cs="Times New Roman"/>
          <w:b/>
          <w:bCs/>
          <w:sz w:val="20"/>
          <w:szCs w:val="20"/>
          <w:u w:val="single"/>
        </w:rPr>
      </w:pPr>
      <w:r w:rsidRPr="00A911B9">
        <w:rPr>
          <w:rFonts w:ascii="Times New Roman" w:hAnsi="Times New Roman" w:cs="Times New Roman"/>
          <w:b/>
          <w:bCs/>
          <w:sz w:val="20"/>
          <w:szCs w:val="20"/>
          <w:u w:val="single"/>
        </w:rPr>
        <w:t>RRM requirements with Pre-configured MGs</w:t>
      </w:r>
    </w:p>
    <w:tbl>
      <w:tblPr>
        <w:tblW w:w="8382"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2"/>
      </w:tblGrid>
      <w:tr w:rsidR="00B12D1E" w:rsidTr="00B12D1E">
        <w:trPr>
          <w:trHeight w:val="882"/>
        </w:trPr>
        <w:tc>
          <w:tcPr>
            <w:tcW w:w="8382" w:type="dxa"/>
          </w:tcPr>
          <w:p w:rsidR="00EC0835" w:rsidRPr="00EC0835" w:rsidRDefault="00EC0835" w:rsidP="00EC0835">
            <w:pPr>
              <w:rPr>
                <w:rFonts w:ascii="Times New Roman" w:hAnsi="Times New Roman" w:cs="Times New Roman"/>
                <w:b/>
                <w:bCs/>
                <w:sz w:val="20"/>
                <w:szCs w:val="20"/>
                <w:u w:val="single"/>
              </w:rPr>
            </w:pPr>
            <w:r w:rsidRPr="00EC0835">
              <w:rPr>
                <w:rFonts w:ascii="Times New Roman" w:hAnsi="Times New Roman" w:cs="Times New Roman"/>
                <w:b/>
                <w:bCs/>
                <w:sz w:val="20"/>
                <w:szCs w:val="20"/>
                <w:u w:val="single"/>
              </w:rPr>
              <w:t xml:space="preserve">UE behavior when pre-MG status changed when UE performing measurement with pre-MG: </w:t>
            </w:r>
          </w:p>
          <w:p w:rsidR="00EC0835" w:rsidRPr="00EC0835" w:rsidRDefault="00EC0835" w:rsidP="00EC0835">
            <w:pPr>
              <w:rPr>
                <w:rFonts w:ascii="Times New Roman" w:hAnsi="Times New Roman" w:cs="Times New Roman"/>
                <w:b/>
                <w:bCs/>
                <w:sz w:val="20"/>
                <w:szCs w:val="20"/>
              </w:rPr>
            </w:pPr>
            <w:r w:rsidRPr="00EC0835">
              <w:rPr>
                <w:rFonts w:ascii="Times New Roman" w:hAnsi="Times New Roman" w:cs="Times New Roman"/>
                <w:b/>
                <w:bCs/>
                <w:sz w:val="20"/>
                <w:szCs w:val="20"/>
              </w:rPr>
              <w:t>FFS on:</w:t>
            </w:r>
          </w:p>
          <w:p w:rsidR="00EC0835" w:rsidRPr="00EC0835" w:rsidRDefault="00EC0835" w:rsidP="00EC0835">
            <w:pPr>
              <w:pStyle w:val="a7"/>
              <w:numPr>
                <w:ilvl w:val="0"/>
                <w:numId w:val="33"/>
              </w:numPr>
              <w:overflowPunct w:val="0"/>
              <w:autoSpaceDE w:val="0"/>
              <w:autoSpaceDN w:val="0"/>
              <w:adjustRightInd w:val="0"/>
              <w:spacing w:line="259" w:lineRule="auto"/>
              <w:contextualSpacing w:val="0"/>
              <w:textAlignment w:val="baseline"/>
              <w:rPr>
                <w:rFonts w:eastAsiaTheme="minorEastAsia"/>
                <w:sz w:val="20"/>
                <w:szCs w:val="20"/>
                <w:lang w:eastAsia="zh-CN"/>
              </w:rPr>
            </w:pPr>
            <w:r w:rsidRPr="00EC0835">
              <w:rPr>
                <w:rFonts w:eastAsiaTheme="minorEastAsia"/>
                <w:sz w:val="20"/>
                <w:szCs w:val="20"/>
                <w:lang w:eastAsia="zh-CN"/>
              </w:rPr>
              <w:t xml:space="preserve">Option 1 </w:t>
            </w:r>
          </w:p>
          <w:p w:rsidR="00EC0835" w:rsidRPr="00EC0835" w:rsidRDefault="00EC0835" w:rsidP="00EC0835">
            <w:pPr>
              <w:pStyle w:val="a7"/>
              <w:numPr>
                <w:ilvl w:val="1"/>
                <w:numId w:val="33"/>
              </w:numPr>
              <w:overflowPunct w:val="0"/>
              <w:autoSpaceDE w:val="0"/>
              <w:autoSpaceDN w:val="0"/>
              <w:adjustRightInd w:val="0"/>
              <w:spacing w:line="259" w:lineRule="auto"/>
              <w:contextualSpacing w:val="0"/>
              <w:textAlignment w:val="baseline"/>
              <w:rPr>
                <w:b/>
                <w:sz w:val="20"/>
                <w:szCs w:val="20"/>
              </w:rPr>
            </w:pPr>
            <w:r w:rsidRPr="00EC0835">
              <w:rPr>
                <w:b/>
                <w:sz w:val="20"/>
                <w:szCs w:val="20"/>
              </w:rPr>
              <w:fldChar w:fldCharType="begin"/>
            </w:r>
            <w:r w:rsidRPr="00EC0835">
              <w:rPr>
                <w:b/>
                <w:sz w:val="20"/>
                <w:szCs w:val="20"/>
              </w:rPr>
              <w:instrText xml:space="preserve"> REF _Ref71194622 \h  \* MERGEFORMAT </w:instrText>
            </w:r>
            <w:r w:rsidRPr="00EC0835">
              <w:rPr>
                <w:b/>
                <w:sz w:val="20"/>
                <w:szCs w:val="20"/>
              </w:rPr>
            </w:r>
            <w:r w:rsidRPr="00EC0835">
              <w:rPr>
                <w:b/>
                <w:sz w:val="20"/>
                <w:szCs w:val="20"/>
              </w:rPr>
              <w:fldChar w:fldCharType="separate"/>
            </w:r>
            <w:r w:rsidRPr="00EC0835">
              <w:rPr>
                <w:rFonts w:eastAsiaTheme="minorEastAsia"/>
                <w:sz w:val="20"/>
                <w:szCs w:val="20"/>
                <w:lang w:eastAsia="zh-CN"/>
              </w:rPr>
              <w:t xml:space="preserve">UE re-starts a new measurement period </w:t>
            </w:r>
            <w:r>
              <w:rPr>
                <w:rFonts w:eastAsiaTheme="minorEastAsia"/>
                <w:sz w:val="20"/>
                <w:szCs w:val="20"/>
                <w:lang w:eastAsia="zh-CN"/>
              </w:rPr>
              <w:t>once the pre-MG status changes</w:t>
            </w:r>
            <w:r w:rsidRPr="00EC0835">
              <w:rPr>
                <w:sz w:val="20"/>
                <w:szCs w:val="20"/>
              </w:rPr>
              <w:t>.</w:t>
            </w:r>
            <w:r w:rsidRPr="00EC0835">
              <w:rPr>
                <w:b/>
                <w:sz w:val="20"/>
                <w:szCs w:val="20"/>
              </w:rPr>
              <w:fldChar w:fldCharType="end"/>
            </w:r>
          </w:p>
          <w:p w:rsidR="00EC0835" w:rsidRPr="00EC0835" w:rsidRDefault="00EC0835" w:rsidP="00EC0835">
            <w:pPr>
              <w:pStyle w:val="a7"/>
              <w:numPr>
                <w:ilvl w:val="0"/>
                <w:numId w:val="43"/>
              </w:numPr>
              <w:overflowPunct w:val="0"/>
              <w:autoSpaceDE w:val="0"/>
              <w:autoSpaceDN w:val="0"/>
              <w:adjustRightInd w:val="0"/>
              <w:spacing w:line="259" w:lineRule="auto"/>
              <w:contextualSpacing w:val="0"/>
              <w:textAlignment w:val="baseline"/>
              <w:rPr>
                <w:rFonts w:eastAsiaTheme="minorEastAsia"/>
                <w:sz w:val="20"/>
                <w:szCs w:val="20"/>
                <w:lang w:eastAsia="zh-CN"/>
              </w:rPr>
            </w:pPr>
            <w:r w:rsidRPr="00EC0835">
              <w:rPr>
                <w:sz w:val="20"/>
                <w:szCs w:val="20"/>
              </w:rPr>
              <w:t xml:space="preserve">Option 2: </w:t>
            </w:r>
          </w:p>
          <w:p w:rsidR="00EC0835" w:rsidRPr="00EC0835" w:rsidRDefault="00EC0835" w:rsidP="00EC0835">
            <w:pPr>
              <w:pStyle w:val="a7"/>
              <w:numPr>
                <w:ilvl w:val="1"/>
                <w:numId w:val="43"/>
              </w:numPr>
              <w:overflowPunct w:val="0"/>
              <w:autoSpaceDE w:val="0"/>
              <w:autoSpaceDN w:val="0"/>
              <w:adjustRightInd w:val="0"/>
              <w:spacing w:line="259" w:lineRule="auto"/>
              <w:contextualSpacing w:val="0"/>
              <w:textAlignment w:val="baseline"/>
              <w:rPr>
                <w:rFonts w:eastAsiaTheme="minorEastAsia"/>
                <w:sz w:val="20"/>
                <w:szCs w:val="20"/>
                <w:lang w:eastAsia="zh-CN"/>
              </w:rPr>
            </w:pPr>
            <w:r w:rsidRPr="00EC0835">
              <w:rPr>
                <w:bCs/>
                <w:sz w:val="20"/>
                <w:szCs w:val="20"/>
                <w:lang w:eastAsia="zh-CN"/>
              </w:rPr>
              <w:t>continue the ongoing measurement when pre-MG status changed</w:t>
            </w:r>
            <w:r w:rsidRPr="00EC0835">
              <w:rPr>
                <w:b/>
                <w:sz w:val="20"/>
                <w:szCs w:val="20"/>
                <w:lang w:eastAsia="zh-CN"/>
              </w:rPr>
              <w:t>.</w:t>
            </w:r>
          </w:p>
          <w:p w:rsidR="00EC0835" w:rsidRPr="00EC0835" w:rsidRDefault="00EC0835" w:rsidP="00EC0835">
            <w:pPr>
              <w:pStyle w:val="a7"/>
              <w:numPr>
                <w:ilvl w:val="0"/>
                <w:numId w:val="43"/>
              </w:numPr>
              <w:overflowPunct w:val="0"/>
              <w:autoSpaceDE w:val="0"/>
              <w:autoSpaceDN w:val="0"/>
              <w:adjustRightInd w:val="0"/>
              <w:spacing w:line="259" w:lineRule="auto"/>
              <w:contextualSpacing w:val="0"/>
              <w:textAlignment w:val="baseline"/>
              <w:rPr>
                <w:rFonts w:eastAsiaTheme="minorEastAsia"/>
                <w:sz w:val="20"/>
                <w:szCs w:val="20"/>
                <w:lang w:eastAsia="zh-CN"/>
              </w:rPr>
            </w:pPr>
            <w:r w:rsidRPr="00EC0835">
              <w:rPr>
                <w:sz w:val="20"/>
                <w:szCs w:val="20"/>
              </w:rPr>
              <w:lastRenderedPageBreak/>
              <w:t xml:space="preserve">Option 3: </w:t>
            </w:r>
          </w:p>
          <w:p w:rsidR="00B12D1E" w:rsidRPr="00EC0835" w:rsidRDefault="00EC0835" w:rsidP="00EC0835">
            <w:pPr>
              <w:pStyle w:val="a7"/>
              <w:numPr>
                <w:ilvl w:val="1"/>
                <w:numId w:val="43"/>
              </w:numPr>
              <w:overflowPunct w:val="0"/>
              <w:autoSpaceDE w:val="0"/>
              <w:autoSpaceDN w:val="0"/>
              <w:adjustRightInd w:val="0"/>
              <w:spacing w:line="259" w:lineRule="auto"/>
              <w:contextualSpacing w:val="0"/>
              <w:textAlignment w:val="baseline"/>
              <w:rPr>
                <w:rFonts w:eastAsiaTheme="minorEastAsia"/>
                <w:lang w:eastAsia="zh-CN"/>
              </w:rPr>
            </w:pPr>
            <w:r w:rsidRPr="00EC0835">
              <w:rPr>
                <w:rFonts w:eastAsiaTheme="minorEastAsia"/>
                <w:sz w:val="20"/>
                <w:szCs w:val="20"/>
                <w:lang w:eastAsia="zh-CN"/>
              </w:rPr>
              <w:t>For measurements that can only be performed within MG, e.g. NR positioning measurements and CSI-RS inter-frequency measurements, requirements would not apply if the pre-configured gap is deactivated during the measurement period.</w:t>
            </w:r>
          </w:p>
        </w:tc>
      </w:tr>
    </w:tbl>
    <w:p w:rsidR="00EC0835" w:rsidRDefault="00322D14">
      <w:pPr>
        <w:rPr>
          <w:rFonts w:ascii="Times New Roman" w:hAnsi="Times New Roman" w:cs="Times New Roman"/>
          <w:sz w:val="20"/>
          <w:szCs w:val="20"/>
        </w:rPr>
      </w:pPr>
      <w:r>
        <w:rPr>
          <w:rFonts w:ascii="Times New Roman" w:hAnsi="Times New Roman" w:cs="Times New Roman"/>
          <w:sz w:val="20"/>
          <w:szCs w:val="20"/>
        </w:rPr>
        <w:lastRenderedPageBreak/>
        <w:t>For the measurement report period with pre-M</w:t>
      </w:r>
      <w:r w:rsidR="00DA1EA1">
        <w:rPr>
          <w:rFonts w:ascii="Times New Roman" w:hAnsi="Times New Roman" w:cs="Times New Roman"/>
          <w:sz w:val="20"/>
          <w:szCs w:val="20"/>
        </w:rPr>
        <w:t xml:space="preserve">G, when there is ongoing measurement during one measurement report period after the pre-MG status changed, in order to simplify the delay requirements, UE should restart a new measurement process after the pre-MG status changes. </w:t>
      </w:r>
    </w:p>
    <w:p w:rsidR="00EC0835" w:rsidRPr="00EC0835" w:rsidRDefault="00EC0835" w:rsidP="00496C5B">
      <w:pPr>
        <w:spacing w:before="240"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Pr>
          <w:rFonts w:ascii="Times New Roman" w:hAnsi="Times New Roman" w:cs="Times New Roman"/>
          <w:b/>
          <w:sz w:val="20"/>
          <w:szCs w:val="20"/>
        </w:rPr>
        <w:t>roposal 4</w:t>
      </w:r>
      <w:r w:rsidRPr="0038386A">
        <w:rPr>
          <w:rFonts w:ascii="Times New Roman" w:hAnsi="Times New Roman" w:cs="Times New Roman"/>
          <w:b/>
          <w:sz w:val="20"/>
          <w:szCs w:val="20"/>
        </w:rPr>
        <w:t xml:space="preserve">: UE restarts a new measurement process </w:t>
      </w:r>
      <w:r>
        <w:rPr>
          <w:rFonts w:ascii="Times New Roman" w:hAnsi="Times New Roman" w:cs="Times New Roman"/>
          <w:b/>
          <w:sz w:val="20"/>
          <w:szCs w:val="20"/>
        </w:rPr>
        <w:t>once</w:t>
      </w:r>
      <w:r w:rsidRPr="0038386A">
        <w:rPr>
          <w:rFonts w:ascii="Times New Roman" w:hAnsi="Times New Roman" w:cs="Times New Roman"/>
          <w:b/>
          <w:sz w:val="20"/>
          <w:szCs w:val="20"/>
        </w:rPr>
        <w:t xml:space="preserve"> the pre-MG status changes.</w:t>
      </w:r>
    </w:p>
    <w:tbl>
      <w:tblPr>
        <w:tblW w:w="8394"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4"/>
      </w:tblGrid>
      <w:tr w:rsidR="00EC0835" w:rsidTr="00EC0835">
        <w:trPr>
          <w:trHeight w:val="611"/>
        </w:trPr>
        <w:tc>
          <w:tcPr>
            <w:tcW w:w="8394" w:type="dxa"/>
          </w:tcPr>
          <w:p w:rsidR="00EC0835" w:rsidRPr="00EC0835" w:rsidRDefault="00EC0835" w:rsidP="00EC0835">
            <w:pPr>
              <w:rPr>
                <w:rFonts w:ascii="Times New Roman" w:hAnsi="Times New Roman" w:cs="Times New Roman"/>
                <w:color w:val="0070C0"/>
                <w:sz w:val="20"/>
                <w:szCs w:val="20"/>
              </w:rPr>
            </w:pPr>
            <w:r w:rsidRPr="00EC0835">
              <w:rPr>
                <w:rFonts w:ascii="Times New Roman" w:hAnsi="Times New Roman" w:cs="Times New Roman"/>
                <w:b/>
                <w:bCs/>
                <w:sz w:val="20"/>
                <w:szCs w:val="20"/>
                <w:u w:val="single"/>
              </w:rPr>
              <w:t>General principle to define the requirements of measurement period with pre-MG measurements</w:t>
            </w:r>
            <w:r w:rsidRPr="00EC0835">
              <w:rPr>
                <w:rFonts w:ascii="Times New Roman" w:hAnsi="Times New Roman" w:cs="Times New Roman"/>
                <w:color w:val="0070C0"/>
                <w:sz w:val="20"/>
                <w:szCs w:val="20"/>
              </w:rPr>
              <w:t>:</w:t>
            </w:r>
          </w:p>
          <w:p w:rsidR="00EC0835" w:rsidRPr="00EC0835" w:rsidRDefault="00EC0835" w:rsidP="00EC0835">
            <w:pPr>
              <w:rPr>
                <w:rFonts w:ascii="Times New Roman" w:hAnsi="Times New Roman" w:cs="Times New Roman"/>
                <w:b/>
                <w:bCs/>
                <w:sz w:val="20"/>
                <w:szCs w:val="20"/>
              </w:rPr>
            </w:pPr>
            <w:r w:rsidRPr="00EC0835">
              <w:rPr>
                <w:rFonts w:ascii="Times New Roman" w:hAnsi="Times New Roman" w:cs="Times New Roman"/>
                <w:b/>
                <w:bCs/>
                <w:sz w:val="20"/>
                <w:szCs w:val="20"/>
              </w:rPr>
              <w:t>FFS on:</w:t>
            </w:r>
          </w:p>
          <w:p w:rsidR="00EC0835" w:rsidRPr="00EC0835" w:rsidRDefault="00EC0835" w:rsidP="00EC0835">
            <w:pPr>
              <w:pStyle w:val="a7"/>
              <w:numPr>
                <w:ilvl w:val="0"/>
                <w:numId w:val="33"/>
              </w:numPr>
              <w:overflowPunct w:val="0"/>
              <w:autoSpaceDE w:val="0"/>
              <w:autoSpaceDN w:val="0"/>
              <w:adjustRightInd w:val="0"/>
              <w:spacing w:after="180" w:line="259" w:lineRule="auto"/>
              <w:contextualSpacing w:val="0"/>
              <w:textAlignment w:val="baseline"/>
              <w:rPr>
                <w:rFonts w:eastAsiaTheme="minorEastAsia"/>
                <w:sz w:val="20"/>
                <w:szCs w:val="20"/>
                <w:lang w:eastAsia="zh-CN"/>
              </w:rPr>
            </w:pPr>
            <w:r w:rsidRPr="00EC0835">
              <w:rPr>
                <w:rFonts w:eastAsiaTheme="minorEastAsia"/>
                <w:sz w:val="20"/>
                <w:szCs w:val="20"/>
                <w:lang w:eastAsia="zh-CN"/>
              </w:rPr>
              <w:t>Option 1aDefine the more general requirements for the case in which UE can perform the measurements within “N” activated pre-MG and “M” deactivated pre-MG (N+M&lt;total number of measurement required by a successful measurement report (e.g. 5)) .</w:t>
            </w:r>
          </w:p>
          <w:p w:rsidR="00EC0835" w:rsidRPr="00EC0835" w:rsidRDefault="00EC0835" w:rsidP="00EC0835">
            <w:pPr>
              <w:pStyle w:val="a7"/>
              <w:numPr>
                <w:ilvl w:val="1"/>
                <w:numId w:val="33"/>
              </w:numPr>
              <w:overflowPunct w:val="0"/>
              <w:autoSpaceDE w:val="0"/>
              <w:autoSpaceDN w:val="0"/>
              <w:adjustRightInd w:val="0"/>
              <w:spacing w:after="180" w:line="259" w:lineRule="auto"/>
              <w:contextualSpacing w:val="0"/>
              <w:textAlignment w:val="baseline"/>
              <w:rPr>
                <w:rFonts w:eastAsiaTheme="minorEastAsia"/>
                <w:sz w:val="20"/>
                <w:szCs w:val="20"/>
                <w:lang w:eastAsia="zh-CN"/>
              </w:rPr>
            </w:pPr>
            <w:r w:rsidRPr="00EC0835">
              <w:rPr>
                <w:rFonts w:eastAsiaTheme="minorEastAsia"/>
                <w:sz w:val="20"/>
                <w:szCs w:val="20"/>
                <w:lang w:eastAsia="zh-CN"/>
              </w:rPr>
              <w:t>If there is any pre-MG status transition, the additional time shall be included</w:t>
            </w:r>
          </w:p>
          <w:p w:rsidR="00EC0835" w:rsidRPr="00EC0835" w:rsidRDefault="00EC0835" w:rsidP="00EC0835">
            <w:pPr>
              <w:pStyle w:val="a7"/>
              <w:numPr>
                <w:ilvl w:val="0"/>
                <w:numId w:val="33"/>
              </w:numPr>
              <w:overflowPunct w:val="0"/>
              <w:autoSpaceDE w:val="0"/>
              <w:autoSpaceDN w:val="0"/>
              <w:adjustRightInd w:val="0"/>
              <w:spacing w:after="180" w:line="259" w:lineRule="auto"/>
              <w:contextualSpacing w:val="0"/>
              <w:textAlignment w:val="baseline"/>
              <w:rPr>
                <w:sz w:val="20"/>
                <w:szCs w:val="20"/>
                <w:lang w:eastAsia="zh-CN"/>
              </w:rPr>
            </w:pPr>
            <w:r w:rsidRPr="00EC0835">
              <w:rPr>
                <w:rFonts w:eastAsiaTheme="minorEastAsia"/>
                <w:sz w:val="20"/>
                <w:szCs w:val="20"/>
                <w:lang w:eastAsia="zh-CN"/>
              </w:rPr>
              <w:t xml:space="preserve">Option 1b( Ericsson,ZTE, CATT) </w:t>
            </w:r>
            <w:r w:rsidRPr="00EC0835">
              <w:rPr>
                <w:sz w:val="20"/>
                <w:szCs w:val="20"/>
                <w:lang w:eastAsia="zh-CN"/>
              </w:rPr>
              <w:t>: T</w:t>
            </w:r>
            <w:r w:rsidRPr="00EC0835">
              <w:rPr>
                <w:sz w:val="20"/>
                <w:szCs w:val="20"/>
              </w:rPr>
              <w:t>otal measurement period (T</w:t>
            </w:r>
            <w:r w:rsidRPr="00EC0835">
              <w:rPr>
                <w:sz w:val="20"/>
                <w:szCs w:val="20"/>
                <w:vertAlign w:val="subscript"/>
              </w:rPr>
              <w:t>measure, total</w:t>
            </w:r>
            <w:r w:rsidRPr="00EC0835">
              <w:rPr>
                <w:sz w:val="20"/>
                <w:szCs w:val="20"/>
              </w:rPr>
              <w:t>) can be expressed in terms of basic measurement period (T</w:t>
            </w:r>
            <w:r w:rsidRPr="00EC0835">
              <w:rPr>
                <w:sz w:val="20"/>
                <w:szCs w:val="20"/>
                <w:vertAlign w:val="subscript"/>
              </w:rPr>
              <w:t>measure, basic</w:t>
            </w:r>
            <w:r w:rsidRPr="00EC0835">
              <w:rPr>
                <w:sz w:val="20"/>
                <w:szCs w:val="20"/>
              </w:rPr>
              <w:t>) and aggregated time consumed due to total number of Pre-MG status changes (K*T</w:t>
            </w:r>
            <w:r w:rsidRPr="00EC0835">
              <w:rPr>
                <w:sz w:val="20"/>
                <w:szCs w:val="20"/>
                <w:vertAlign w:val="subscript"/>
              </w:rPr>
              <w:t>status_change</w:t>
            </w:r>
            <w:r w:rsidRPr="00EC0835">
              <w:rPr>
                <w:sz w:val="20"/>
                <w:szCs w:val="20"/>
              </w:rPr>
              <w:t xml:space="preserve">) </w:t>
            </w:r>
            <w:r w:rsidRPr="00EC0835">
              <w:rPr>
                <w:sz w:val="20"/>
                <w:szCs w:val="20"/>
                <w:lang w:eastAsia="zh-CN"/>
              </w:rPr>
              <w:t>during the ongoing measurement:</w:t>
            </w:r>
          </w:p>
          <w:p w:rsidR="00EC0835" w:rsidRPr="00EC0835" w:rsidRDefault="00EC0835" w:rsidP="00EC0835">
            <w:pPr>
              <w:pStyle w:val="ab"/>
              <w:numPr>
                <w:ilvl w:val="0"/>
                <w:numId w:val="44"/>
              </w:numPr>
              <w:overflowPunct w:val="0"/>
              <w:autoSpaceDE w:val="0"/>
              <w:autoSpaceDN w:val="0"/>
              <w:adjustRightInd w:val="0"/>
              <w:spacing w:before="60" w:after="0" w:line="240" w:lineRule="auto"/>
              <w:ind w:hanging="357"/>
              <w:textAlignment w:val="baseline"/>
            </w:pPr>
            <w:r w:rsidRPr="00EC0835">
              <w:t>T</w:t>
            </w:r>
            <w:r w:rsidRPr="00EC0835">
              <w:rPr>
                <w:vertAlign w:val="subscript"/>
              </w:rPr>
              <w:t>measure, total</w:t>
            </w:r>
            <w:r w:rsidRPr="00EC0835">
              <w:t xml:space="preserve"> = T</w:t>
            </w:r>
            <w:r w:rsidRPr="00EC0835">
              <w:rPr>
                <w:vertAlign w:val="subscript"/>
              </w:rPr>
              <w:t>measure, basic</w:t>
            </w:r>
            <w:r w:rsidRPr="00EC0835">
              <w:t>+ N* T</w:t>
            </w:r>
            <w:r w:rsidRPr="00EC0835">
              <w:rPr>
                <w:vertAlign w:val="subscript"/>
              </w:rPr>
              <w:t>status_change</w:t>
            </w:r>
          </w:p>
          <w:p w:rsidR="00EC0835" w:rsidRPr="00EC0835" w:rsidRDefault="00EC0835" w:rsidP="00EC0835">
            <w:pPr>
              <w:pStyle w:val="ab"/>
              <w:numPr>
                <w:ilvl w:val="0"/>
                <w:numId w:val="44"/>
              </w:numPr>
              <w:overflowPunct w:val="0"/>
              <w:autoSpaceDE w:val="0"/>
              <w:autoSpaceDN w:val="0"/>
              <w:adjustRightInd w:val="0"/>
              <w:spacing w:before="60" w:after="0" w:line="240" w:lineRule="auto"/>
              <w:ind w:hanging="357"/>
              <w:textAlignment w:val="baseline"/>
            </w:pPr>
            <w:r w:rsidRPr="00EC0835">
              <w:t>Where</w:t>
            </w:r>
          </w:p>
          <w:p w:rsidR="00EC0835" w:rsidRPr="00EC0835" w:rsidRDefault="00EC0835" w:rsidP="00EC0835">
            <w:pPr>
              <w:pStyle w:val="ab"/>
              <w:numPr>
                <w:ilvl w:val="2"/>
                <w:numId w:val="33"/>
              </w:numPr>
              <w:overflowPunct w:val="0"/>
              <w:autoSpaceDE w:val="0"/>
              <w:autoSpaceDN w:val="0"/>
              <w:adjustRightInd w:val="0"/>
              <w:spacing w:before="60" w:after="0" w:line="240" w:lineRule="auto"/>
              <w:textAlignment w:val="baseline"/>
              <w:rPr>
                <w:rFonts w:eastAsiaTheme="minorEastAsia"/>
                <w:lang w:val="en-US" w:eastAsia="zh-CN"/>
              </w:rPr>
            </w:pPr>
            <w:r w:rsidRPr="00EC0835">
              <w:t xml:space="preserve">K=total number of Pre-MG </w:t>
            </w:r>
            <w:r w:rsidRPr="00EC0835">
              <w:rPr>
                <w:lang w:val="en-US"/>
              </w:rPr>
              <w:t>status changes</w:t>
            </w:r>
            <w:r w:rsidRPr="00EC0835">
              <w:t xml:space="preserve"> during the measurement period</w:t>
            </w:r>
            <w:r w:rsidRPr="00EC0835">
              <w:rPr>
                <w:rFonts w:eastAsiaTheme="minorEastAsia"/>
                <w:lang w:val="en-US" w:eastAsia="zh-CN"/>
              </w:rPr>
              <w:t>.</w:t>
            </w:r>
          </w:p>
          <w:p w:rsidR="00EC0835" w:rsidRPr="00EC0835" w:rsidRDefault="00EC0835" w:rsidP="00EC0835">
            <w:pPr>
              <w:pStyle w:val="ab"/>
              <w:numPr>
                <w:ilvl w:val="2"/>
                <w:numId w:val="33"/>
              </w:numPr>
              <w:overflowPunct w:val="0"/>
              <w:autoSpaceDE w:val="0"/>
              <w:autoSpaceDN w:val="0"/>
              <w:adjustRightInd w:val="0"/>
              <w:spacing w:before="240" w:after="0" w:line="240" w:lineRule="auto"/>
              <w:textAlignment w:val="baseline"/>
              <w:rPr>
                <w:lang w:eastAsia="zh-CN"/>
              </w:rPr>
            </w:pPr>
            <w:r w:rsidRPr="00EC0835">
              <w:t>T</w:t>
            </w:r>
            <w:r w:rsidRPr="00EC0835">
              <w:rPr>
                <w:vertAlign w:val="subscript"/>
              </w:rPr>
              <w:t>measure, basic</w:t>
            </w:r>
            <w:r w:rsidRPr="00EC0835">
              <w:rPr>
                <w:lang w:val="en-US"/>
              </w:rPr>
              <w:t xml:space="preserve"> </w:t>
            </w:r>
            <w:r w:rsidRPr="00EC0835">
              <w:t>= MAX(</w:t>
            </w:r>
            <w:r w:rsidRPr="00EC0835">
              <w:rPr>
                <w:lang w:val="en-US"/>
              </w:rPr>
              <w:t>T</w:t>
            </w:r>
            <w:r w:rsidRPr="00EC0835">
              <w:rPr>
                <w:vertAlign w:val="subscript"/>
                <w:lang w:val="en-US"/>
              </w:rPr>
              <w:t>measure,BWP</w:t>
            </w:r>
            <w:r w:rsidRPr="00EC0835">
              <w:t xml:space="preserve">, </w:t>
            </w:r>
            <w:r w:rsidRPr="00EC0835">
              <w:rPr>
                <w:lang w:val="en-US"/>
              </w:rPr>
              <w:t>T</w:t>
            </w:r>
            <w:r w:rsidRPr="00EC0835">
              <w:rPr>
                <w:vertAlign w:val="subscript"/>
                <w:lang w:val="en-US"/>
              </w:rPr>
              <w:t>measure,MG</w:t>
            </w:r>
            <w:r w:rsidRPr="00EC0835">
              <w:t>)</w:t>
            </w:r>
            <w:r w:rsidRPr="00EC0835">
              <w:rPr>
                <w:lang w:eastAsia="zh-CN"/>
              </w:rPr>
              <w:t>; where:</w:t>
            </w:r>
          </w:p>
          <w:p w:rsidR="00EC0835" w:rsidRPr="00EC0835" w:rsidRDefault="00EC0835" w:rsidP="00EC0835">
            <w:pPr>
              <w:pStyle w:val="ab"/>
              <w:numPr>
                <w:ilvl w:val="3"/>
                <w:numId w:val="33"/>
              </w:numPr>
              <w:overflowPunct w:val="0"/>
              <w:autoSpaceDE w:val="0"/>
              <w:autoSpaceDN w:val="0"/>
              <w:adjustRightInd w:val="0"/>
              <w:spacing w:before="60" w:after="0" w:line="240" w:lineRule="auto"/>
              <w:textAlignment w:val="baseline"/>
              <w:rPr>
                <w:lang w:eastAsia="zh-CN"/>
              </w:rPr>
            </w:pPr>
            <w:r w:rsidRPr="00EC0835">
              <w:rPr>
                <w:lang w:val="en-US"/>
              </w:rPr>
              <w:t>T</w:t>
            </w:r>
            <w:r w:rsidRPr="00EC0835">
              <w:rPr>
                <w:vertAlign w:val="subscript"/>
                <w:lang w:val="en-US"/>
              </w:rPr>
              <w:t>measure,BWP</w:t>
            </w:r>
            <w:r w:rsidRPr="00EC0835">
              <w:rPr>
                <w:lang w:val="en-US"/>
              </w:rPr>
              <w:t>=It is measurement period when the measurement is fully performed without measurement gap</w:t>
            </w:r>
          </w:p>
          <w:p w:rsidR="00EC0835" w:rsidRPr="00EC0835" w:rsidRDefault="00EC0835" w:rsidP="00EC0835">
            <w:pPr>
              <w:pStyle w:val="ab"/>
              <w:numPr>
                <w:ilvl w:val="3"/>
                <w:numId w:val="33"/>
              </w:numPr>
              <w:overflowPunct w:val="0"/>
              <w:autoSpaceDE w:val="0"/>
              <w:autoSpaceDN w:val="0"/>
              <w:adjustRightInd w:val="0"/>
              <w:spacing w:before="120" w:after="0" w:line="240" w:lineRule="auto"/>
              <w:textAlignment w:val="baseline"/>
              <w:rPr>
                <w:lang w:eastAsia="zh-CN"/>
              </w:rPr>
            </w:pPr>
            <w:r w:rsidRPr="00EC0835">
              <w:rPr>
                <w:lang w:val="en-US"/>
              </w:rPr>
              <w:t>T</w:t>
            </w:r>
            <w:r w:rsidRPr="00EC0835">
              <w:rPr>
                <w:vertAlign w:val="subscript"/>
                <w:lang w:val="en-US"/>
              </w:rPr>
              <w:t>measure,MG</w:t>
            </w:r>
            <w:r w:rsidRPr="00EC0835">
              <w:rPr>
                <w:lang w:val="en-US"/>
              </w:rPr>
              <w:t xml:space="preserve"> =It is measurement period when the measurement is fully performed with measurement gap.</w:t>
            </w:r>
          </w:p>
          <w:p w:rsidR="00EC0835" w:rsidRPr="00EC0835" w:rsidRDefault="00EC0835" w:rsidP="00EC0835">
            <w:pPr>
              <w:pStyle w:val="a7"/>
              <w:numPr>
                <w:ilvl w:val="0"/>
                <w:numId w:val="33"/>
              </w:numPr>
              <w:overflowPunct w:val="0"/>
              <w:autoSpaceDE w:val="0"/>
              <w:autoSpaceDN w:val="0"/>
              <w:adjustRightInd w:val="0"/>
              <w:spacing w:after="180" w:line="259" w:lineRule="auto"/>
              <w:contextualSpacing w:val="0"/>
              <w:textAlignment w:val="baseline"/>
              <w:rPr>
                <w:rFonts w:eastAsiaTheme="minorEastAsia"/>
                <w:sz w:val="20"/>
                <w:szCs w:val="20"/>
                <w:lang w:eastAsia="zh-CN"/>
              </w:rPr>
            </w:pPr>
            <w:r w:rsidRPr="00EC0835">
              <w:rPr>
                <w:rFonts w:eastAsiaTheme="minorEastAsia"/>
                <w:sz w:val="20"/>
                <w:szCs w:val="20"/>
                <w:lang w:eastAsia="zh-CN"/>
              </w:rPr>
              <w:t>Option 2: Define the measurement period requirements for the cases (with activativated pre-MG and deactivated pre-MG) separately.</w:t>
            </w:r>
          </w:p>
          <w:p w:rsidR="00EC0835" w:rsidRPr="00EC0835" w:rsidRDefault="00EC0835" w:rsidP="00EC0835">
            <w:pPr>
              <w:pStyle w:val="a7"/>
              <w:numPr>
                <w:ilvl w:val="1"/>
                <w:numId w:val="33"/>
              </w:numPr>
              <w:spacing w:beforeLines="50" w:before="156" w:afterLines="50" w:after="156"/>
              <w:contextualSpacing w:val="0"/>
              <w:rPr>
                <w:rFonts w:eastAsiaTheme="minorEastAsia"/>
                <w:bCs/>
                <w:sz w:val="20"/>
                <w:szCs w:val="20"/>
                <w:lang w:eastAsia="zh-CN"/>
              </w:rPr>
            </w:pPr>
            <w:r w:rsidRPr="00EC0835">
              <w:rPr>
                <w:rFonts w:eastAsiaTheme="minorEastAsia"/>
                <w:bCs/>
                <w:sz w:val="20"/>
                <w:szCs w:val="20"/>
                <w:lang w:eastAsia="zh-CN"/>
              </w:rPr>
              <w:t>if the pre-MG is activated, the measurement period should be same as existing requirements when legacy MG is configured</w:t>
            </w:r>
          </w:p>
          <w:p w:rsidR="00EC0835" w:rsidRPr="00EC0835" w:rsidRDefault="00EC0835" w:rsidP="00EC0835">
            <w:pPr>
              <w:pStyle w:val="a7"/>
              <w:numPr>
                <w:ilvl w:val="1"/>
                <w:numId w:val="33"/>
              </w:numPr>
              <w:spacing w:beforeLines="50" w:before="156" w:afterLines="50" w:after="156"/>
              <w:contextualSpacing w:val="0"/>
              <w:rPr>
                <w:rFonts w:eastAsiaTheme="minorEastAsia"/>
                <w:bCs/>
                <w:sz w:val="20"/>
                <w:szCs w:val="20"/>
                <w:lang w:eastAsia="zh-CN"/>
              </w:rPr>
            </w:pPr>
            <w:r w:rsidRPr="00EC0835">
              <w:rPr>
                <w:rFonts w:eastAsiaTheme="minorEastAsia"/>
                <w:bCs/>
                <w:sz w:val="20"/>
                <w:szCs w:val="20"/>
                <w:lang w:eastAsia="zh-CN"/>
              </w:rPr>
              <w:t>if the pre-MG is deactivated, the measurement period should be same as existing requirements when legacy MG is not configured</w:t>
            </w:r>
          </w:p>
          <w:p w:rsidR="00EC0835" w:rsidRPr="00EC0835" w:rsidRDefault="00EC0835" w:rsidP="00EC0835">
            <w:pPr>
              <w:pStyle w:val="a7"/>
              <w:numPr>
                <w:ilvl w:val="1"/>
                <w:numId w:val="33"/>
              </w:numPr>
              <w:spacing w:beforeLines="50" w:before="156" w:afterLines="50" w:after="156"/>
              <w:contextualSpacing w:val="0"/>
              <w:rPr>
                <w:rFonts w:eastAsiaTheme="minorEastAsia"/>
                <w:bCs/>
                <w:sz w:val="20"/>
                <w:szCs w:val="20"/>
                <w:lang w:eastAsia="zh-CN"/>
              </w:rPr>
            </w:pPr>
            <w:r w:rsidRPr="00EC0835">
              <w:rPr>
                <w:rFonts w:eastAsiaTheme="minorEastAsia"/>
                <w:bCs/>
                <w:sz w:val="20"/>
                <w:szCs w:val="20"/>
                <w:lang w:eastAsia="zh-CN"/>
              </w:rPr>
              <w:t xml:space="preserve">if the pre-MG status is changed during the measurement period, UE may re-start the measurement </w:t>
            </w:r>
          </w:p>
          <w:p w:rsidR="00EC0835" w:rsidRDefault="00EC0835" w:rsidP="00EC0835">
            <w:pPr>
              <w:ind w:left="14"/>
              <w:rPr>
                <w:rFonts w:ascii="Times New Roman" w:hAnsi="Times New Roman" w:cs="Times New Roman"/>
                <w:sz w:val="20"/>
                <w:szCs w:val="20"/>
              </w:rPr>
            </w:pPr>
            <w:r w:rsidRPr="00EC0835">
              <w:rPr>
                <w:rFonts w:ascii="Times New Roman" w:hAnsi="Times New Roman" w:cs="Times New Roman"/>
                <w:sz w:val="20"/>
                <w:szCs w:val="20"/>
              </w:rPr>
              <w:t>Option 3: RAN4 does not specify measurement period requirements for scenarios in which there are changes in the activation/deactivation status of the pre-configured MG during the measurement period.</w:t>
            </w:r>
          </w:p>
        </w:tc>
      </w:tr>
    </w:tbl>
    <w:p w:rsidR="00E42AF5" w:rsidRDefault="00A967E3">
      <w:pPr>
        <w:rPr>
          <w:rFonts w:ascii="Times New Roman" w:hAnsi="Times New Roman" w:cs="Times New Roman"/>
          <w:sz w:val="20"/>
          <w:szCs w:val="20"/>
        </w:rPr>
      </w:pPr>
      <w:r>
        <w:rPr>
          <w:rFonts w:ascii="Times New Roman" w:hAnsi="Times New Roman" w:cs="Times New Roman"/>
          <w:sz w:val="20"/>
          <w:szCs w:val="20"/>
        </w:rPr>
        <w:lastRenderedPageBreak/>
        <w:t>Regarding the principle to define the measurement requirements with pre-MG, it is preferred not to define the requirements for the transition between the on/off of pre-MG, and UE is required to restart a new measurement procedure after the pre-MG status changes</w:t>
      </w:r>
      <w:r w:rsidR="00DA1EA1">
        <w:rPr>
          <w:rFonts w:ascii="Times New Roman" w:hAnsi="Times New Roman" w:cs="Times New Roman"/>
          <w:sz w:val="20"/>
          <w:szCs w:val="20"/>
        </w:rPr>
        <w:t>.</w:t>
      </w:r>
    </w:p>
    <w:p w:rsidR="00DA1EA1" w:rsidRDefault="008E1AFC" w:rsidP="0038386A">
      <w:pPr>
        <w:spacing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sidR="00BB4682">
        <w:rPr>
          <w:rFonts w:ascii="Times New Roman" w:hAnsi="Times New Roman" w:cs="Times New Roman"/>
          <w:b/>
          <w:sz w:val="20"/>
          <w:szCs w:val="20"/>
        </w:rPr>
        <w:t xml:space="preserve">roposal </w:t>
      </w:r>
      <w:r w:rsidR="00A967E3">
        <w:rPr>
          <w:rFonts w:ascii="Times New Roman" w:hAnsi="Times New Roman" w:cs="Times New Roman"/>
          <w:b/>
          <w:sz w:val="20"/>
          <w:szCs w:val="20"/>
        </w:rPr>
        <w:t>5</w:t>
      </w:r>
      <w:r w:rsidRPr="0038386A">
        <w:rPr>
          <w:rFonts w:ascii="Times New Roman" w:hAnsi="Times New Roman" w:cs="Times New Roman"/>
          <w:b/>
          <w:sz w:val="20"/>
          <w:szCs w:val="20"/>
        </w:rPr>
        <w:t xml:space="preserve">: </w:t>
      </w:r>
      <w:r w:rsidR="00A967E3" w:rsidRPr="00A967E3">
        <w:rPr>
          <w:rFonts w:ascii="Times New Roman" w:hAnsi="Times New Roman" w:cs="Times New Roman"/>
          <w:b/>
          <w:sz w:val="20"/>
          <w:szCs w:val="20"/>
        </w:rPr>
        <w:t>Define the measurement period requirements for the cases (with activativated pre-MG and deactivated pre-MG) separately.</w:t>
      </w:r>
    </w:p>
    <w:p w:rsidR="00A967E3" w:rsidRPr="00A967E3" w:rsidRDefault="00A967E3" w:rsidP="00A967E3">
      <w:pPr>
        <w:pStyle w:val="a7"/>
        <w:numPr>
          <w:ilvl w:val="0"/>
          <w:numId w:val="45"/>
        </w:numPr>
        <w:spacing w:after="240"/>
        <w:rPr>
          <w:b/>
          <w:sz w:val="20"/>
          <w:szCs w:val="20"/>
        </w:rPr>
      </w:pPr>
      <w:r>
        <w:rPr>
          <w:b/>
          <w:sz w:val="20"/>
          <w:szCs w:val="20"/>
        </w:rPr>
        <w:t>I</w:t>
      </w:r>
      <w:r w:rsidRPr="00A967E3">
        <w:rPr>
          <w:b/>
          <w:sz w:val="20"/>
          <w:szCs w:val="20"/>
        </w:rPr>
        <w:t>f the pre-MG is activated, the measurement period should be same as existing requirements when legacy MG is configured</w:t>
      </w:r>
      <w:r>
        <w:rPr>
          <w:b/>
          <w:sz w:val="20"/>
          <w:szCs w:val="20"/>
        </w:rPr>
        <w:t>.</w:t>
      </w:r>
    </w:p>
    <w:p w:rsidR="00A967E3" w:rsidRPr="00A967E3" w:rsidRDefault="00A967E3" w:rsidP="00A967E3">
      <w:pPr>
        <w:pStyle w:val="a7"/>
        <w:numPr>
          <w:ilvl w:val="0"/>
          <w:numId w:val="45"/>
        </w:numPr>
        <w:spacing w:after="240"/>
        <w:rPr>
          <w:b/>
          <w:sz w:val="20"/>
          <w:szCs w:val="20"/>
        </w:rPr>
      </w:pPr>
      <w:r>
        <w:rPr>
          <w:b/>
          <w:sz w:val="20"/>
          <w:szCs w:val="20"/>
        </w:rPr>
        <w:t>I</w:t>
      </w:r>
      <w:r w:rsidRPr="00A967E3">
        <w:rPr>
          <w:b/>
          <w:sz w:val="20"/>
          <w:szCs w:val="20"/>
        </w:rPr>
        <w:t>f the pre-MG is deactivated, the measurement period should be same as existing requirements when legacy MG is not configured</w:t>
      </w:r>
      <w:r>
        <w:rPr>
          <w:b/>
          <w:sz w:val="20"/>
          <w:szCs w:val="20"/>
        </w:rPr>
        <w:t>.</w:t>
      </w:r>
    </w:p>
    <w:p w:rsidR="00A967E3" w:rsidRPr="00A967E3" w:rsidRDefault="00A967E3" w:rsidP="00A967E3">
      <w:pPr>
        <w:pStyle w:val="a7"/>
        <w:numPr>
          <w:ilvl w:val="0"/>
          <w:numId w:val="45"/>
        </w:numPr>
        <w:spacing w:after="240"/>
        <w:rPr>
          <w:b/>
          <w:sz w:val="20"/>
          <w:szCs w:val="20"/>
        </w:rPr>
      </w:pPr>
      <w:r>
        <w:rPr>
          <w:b/>
          <w:sz w:val="20"/>
          <w:szCs w:val="20"/>
        </w:rPr>
        <w:t>I</w:t>
      </w:r>
      <w:r w:rsidRPr="00A967E3">
        <w:rPr>
          <w:b/>
          <w:sz w:val="20"/>
          <w:szCs w:val="20"/>
        </w:rPr>
        <w:t>f the pre-MG status is changed during the measurement period, UE may re-start the measurement</w:t>
      </w:r>
      <w:r>
        <w:rPr>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discussed </w:t>
      </w:r>
      <w:r w:rsidR="00C639C4">
        <w:rPr>
          <w:rFonts w:ascii="Times New Roman" w:hAnsi="Times New Roman" w:cs="Times New Roman"/>
          <w:sz w:val="20"/>
          <w:szCs w:val="20"/>
        </w:rPr>
        <w:t>the corresponding RRM requirements for pre-configured measurement mechanism</w:t>
      </w:r>
      <w:r>
        <w:rPr>
          <w:rFonts w:ascii="Times New Roman" w:hAnsi="Times New Roman" w:cs="Times New Roman"/>
          <w:sz w:val="20"/>
          <w:szCs w:val="20"/>
        </w:rPr>
        <w:t xml:space="preserve"> and provide our proposals</w:t>
      </w:r>
      <w:r w:rsidR="00C639C4">
        <w:rPr>
          <w:rFonts w:ascii="Times New Roman" w:hAnsi="Times New Roman" w:cs="Times New Roman"/>
          <w:sz w:val="20"/>
          <w:szCs w:val="20"/>
        </w:rPr>
        <w:t xml:space="preserve"> as follows:</w:t>
      </w:r>
    </w:p>
    <w:p w:rsidR="00A967E3" w:rsidRPr="000A62AC" w:rsidRDefault="00A967E3" w:rsidP="00A967E3">
      <w:pPr>
        <w:spacing w:before="240" w:after="240"/>
        <w:rPr>
          <w:lang w:val="en-GB" w:eastAsia="en-US"/>
        </w:rPr>
      </w:pPr>
      <w:r w:rsidRPr="0038386A">
        <w:rPr>
          <w:rFonts w:ascii="Times New Roman" w:hAnsi="Times New Roman" w:cs="Times New Roman"/>
          <w:b/>
          <w:sz w:val="20"/>
          <w:szCs w:val="20"/>
        </w:rPr>
        <w:t xml:space="preserve">Proposal </w:t>
      </w:r>
      <w:r>
        <w:rPr>
          <w:rFonts w:ascii="Times New Roman" w:hAnsi="Times New Roman" w:cs="Times New Roman"/>
          <w:b/>
          <w:sz w:val="20"/>
          <w:szCs w:val="20"/>
        </w:rPr>
        <w:t>1</w:t>
      </w:r>
      <w:r w:rsidRPr="0038386A">
        <w:rPr>
          <w:rFonts w:ascii="Times New Roman" w:hAnsi="Times New Roman" w:cs="Times New Roman"/>
          <w:b/>
          <w:sz w:val="20"/>
          <w:szCs w:val="20"/>
        </w:rPr>
        <w:t xml:space="preserve">: </w:t>
      </w:r>
      <w:r>
        <w:rPr>
          <w:rFonts w:ascii="Times New Roman" w:hAnsi="Times New Roman" w:cs="Times New Roman"/>
          <w:b/>
          <w:sz w:val="20"/>
          <w:szCs w:val="20"/>
        </w:rPr>
        <w:t>W</w:t>
      </w:r>
      <w:r w:rsidRPr="007C25F9">
        <w:rPr>
          <w:rFonts w:ascii="Times New Roman" w:hAnsi="Times New Roman" w:cs="Times New Roman"/>
          <w:b/>
          <w:sz w:val="20"/>
          <w:szCs w:val="20"/>
        </w:rPr>
        <w:t xml:space="preserve">hen UE is going to perform PRS with the configured Pre-MG, UE shall inform network about the PRS measurement by </w:t>
      </w:r>
      <w:r w:rsidRPr="007C25F9">
        <w:rPr>
          <w:rFonts w:ascii="Times New Roman" w:hAnsi="Times New Roman" w:cs="Times New Roman"/>
          <w:b/>
          <w:i/>
          <w:sz w:val="20"/>
          <w:szCs w:val="20"/>
        </w:rPr>
        <w:t>LocationMeasurementIndication</w:t>
      </w:r>
      <w:r w:rsidRPr="007C25F9">
        <w:rPr>
          <w:rFonts w:ascii="Times New Roman" w:hAnsi="Times New Roman" w:cs="Times New Roman"/>
          <w:b/>
          <w:sz w:val="20"/>
          <w:szCs w:val="20"/>
        </w:rPr>
        <w:t xml:space="preserve"> IE only if UE has not informed</w:t>
      </w:r>
      <w:r>
        <w:rPr>
          <w:rFonts w:ascii="Times New Roman" w:hAnsi="Times New Roman" w:cs="Times New Roman"/>
          <w:b/>
          <w:sz w:val="20"/>
          <w:szCs w:val="20"/>
        </w:rPr>
        <w:t xml:space="preserve"> NW before pre-MG configuration</w:t>
      </w:r>
      <w:r w:rsidRPr="0038386A">
        <w:rPr>
          <w:rFonts w:ascii="Times New Roman" w:hAnsi="Times New Roman" w:cs="Times New Roman"/>
          <w:b/>
          <w:sz w:val="20"/>
          <w:szCs w:val="20"/>
        </w:rPr>
        <w:t>.</w:t>
      </w:r>
    </w:p>
    <w:p w:rsidR="00496C5B" w:rsidRPr="0038386A" w:rsidRDefault="00496C5B" w:rsidP="00496C5B">
      <w:pPr>
        <w:spacing w:before="240"/>
        <w:rPr>
          <w:rFonts w:ascii="Times New Roman" w:hAnsi="Times New Roman" w:cs="Times New Roman"/>
          <w:b/>
          <w:sz w:val="20"/>
          <w:szCs w:val="20"/>
        </w:rPr>
      </w:pPr>
      <w:r w:rsidRPr="0038386A">
        <w:rPr>
          <w:rFonts w:ascii="Times New Roman" w:hAnsi="Times New Roman" w:cs="Times New Roman"/>
          <w:b/>
          <w:sz w:val="20"/>
          <w:szCs w:val="20"/>
        </w:rPr>
        <w:t xml:space="preserve">Proposal </w:t>
      </w:r>
      <w:r>
        <w:rPr>
          <w:rFonts w:ascii="Times New Roman" w:hAnsi="Times New Roman" w:cs="Times New Roman"/>
          <w:b/>
          <w:sz w:val="20"/>
          <w:szCs w:val="20"/>
        </w:rPr>
        <w:t>2</w:t>
      </w:r>
      <w:r w:rsidRPr="0038386A">
        <w:rPr>
          <w:rFonts w:ascii="Times New Roman" w:hAnsi="Times New Roman" w:cs="Times New Roman"/>
          <w:b/>
          <w:sz w:val="20"/>
          <w:szCs w:val="20"/>
        </w:rPr>
        <w:t>: For UE autonomous pre-MG activation/deactivation, the trigger events that may change the status of pre-MG configured to UE include:</w:t>
      </w:r>
    </w:p>
    <w:p w:rsidR="00496C5B" w:rsidRPr="0038386A" w:rsidRDefault="00496C5B" w:rsidP="00496C5B">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 xml:space="preserve">BWP switching  </w:t>
      </w:r>
    </w:p>
    <w:p w:rsidR="00496C5B" w:rsidRPr="0038386A" w:rsidRDefault="00496C5B" w:rsidP="00496C5B">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adding/removing any measurement object(s),</w:t>
      </w:r>
    </w:p>
    <w:p w:rsidR="00496C5B" w:rsidRPr="0038386A" w:rsidRDefault="00496C5B" w:rsidP="00496C5B">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 xml:space="preserve">adding/releasing/changing SCell(s), </w:t>
      </w:r>
    </w:p>
    <w:p w:rsidR="00496C5B" w:rsidRPr="0038386A" w:rsidRDefault="00496C5B" w:rsidP="00496C5B">
      <w:pPr>
        <w:numPr>
          <w:ilvl w:val="0"/>
          <w:numId w:val="21"/>
        </w:numPr>
        <w:spacing w:after="240"/>
        <w:rPr>
          <w:rFonts w:ascii="Times New Roman" w:hAnsi="Times New Roman" w:cs="Times New Roman"/>
          <w:b/>
          <w:sz w:val="20"/>
          <w:szCs w:val="20"/>
        </w:rPr>
      </w:pPr>
      <w:r w:rsidRPr="0038386A">
        <w:rPr>
          <w:rFonts w:ascii="Times New Roman" w:hAnsi="Times New Roman" w:cs="Times New Roman"/>
          <w:b/>
          <w:sz w:val="20"/>
          <w:szCs w:val="20"/>
        </w:rPr>
        <w:t>LPP positioning request</w:t>
      </w:r>
    </w:p>
    <w:p w:rsidR="00496C5B" w:rsidRDefault="00496C5B" w:rsidP="00496C5B">
      <w:pPr>
        <w:spacing w:before="240"/>
        <w:rPr>
          <w:rFonts w:ascii="Times New Roman" w:hAnsi="Times New Roman" w:cs="Times New Roman"/>
          <w:b/>
          <w:sz w:val="20"/>
          <w:szCs w:val="20"/>
        </w:rPr>
      </w:pPr>
      <w:r w:rsidRPr="00481E68">
        <w:rPr>
          <w:rFonts w:ascii="Times New Roman" w:hAnsi="Times New Roman" w:cs="Times New Roman"/>
          <w:b/>
          <w:sz w:val="20"/>
          <w:szCs w:val="20"/>
        </w:rPr>
        <w:t xml:space="preserve">Proposal </w:t>
      </w:r>
      <w:r>
        <w:rPr>
          <w:rFonts w:ascii="Times New Roman" w:hAnsi="Times New Roman" w:cs="Times New Roman"/>
          <w:b/>
          <w:sz w:val="20"/>
          <w:szCs w:val="20"/>
        </w:rPr>
        <w:t>3</w:t>
      </w:r>
      <w:r w:rsidRPr="00481E68">
        <w:rPr>
          <w:rFonts w:ascii="Times New Roman" w:hAnsi="Times New Roman" w:cs="Times New Roman"/>
          <w:b/>
          <w:sz w:val="20"/>
          <w:szCs w:val="20"/>
        </w:rPr>
        <w:t xml:space="preserve">: </w:t>
      </w:r>
      <w:r>
        <w:rPr>
          <w:rFonts w:ascii="Times New Roman" w:hAnsi="Times New Roman" w:cs="Times New Roman"/>
          <w:b/>
          <w:sz w:val="20"/>
          <w:szCs w:val="20"/>
        </w:rPr>
        <w:t>T</w:t>
      </w:r>
      <w:r w:rsidRPr="00853B11">
        <w:rPr>
          <w:rFonts w:ascii="Times New Roman" w:hAnsi="Times New Roman" w:cs="Times New Roman"/>
          <w:b/>
          <w:sz w:val="20"/>
          <w:szCs w:val="20"/>
        </w:rPr>
        <w:t xml:space="preserve">he rules on how to combine the individual per-BWP pre-MG status </w:t>
      </w:r>
      <w:r>
        <w:rPr>
          <w:rFonts w:ascii="Times New Roman" w:hAnsi="Times New Roman" w:cs="Times New Roman"/>
          <w:b/>
          <w:sz w:val="20"/>
          <w:szCs w:val="20"/>
        </w:rPr>
        <w:t>is defined as follows:</w:t>
      </w:r>
    </w:p>
    <w:p w:rsidR="00496C5B" w:rsidRPr="00853B11" w:rsidRDefault="00496C5B" w:rsidP="00496C5B">
      <w:pPr>
        <w:pStyle w:val="a7"/>
        <w:numPr>
          <w:ilvl w:val="2"/>
          <w:numId w:val="38"/>
        </w:numPr>
        <w:overflowPunct w:val="0"/>
        <w:autoSpaceDE w:val="0"/>
        <w:autoSpaceDN w:val="0"/>
        <w:adjustRightInd w:val="0"/>
        <w:ind w:left="426"/>
        <w:contextualSpacing w:val="0"/>
        <w:textAlignment w:val="baseline"/>
        <w:rPr>
          <w:rFonts w:eastAsiaTheme="minorEastAsia"/>
          <w:b/>
          <w:sz w:val="20"/>
          <w:szCs w:val="20"/>
        </w:rPr>
      </w:pPr>
      <w:r w:rsidRPr="00853B11">
        <w:rPr>
          <w:rFonts w:eastAsiaTheme="minorEastAsia"/>
          <w:b/>
          <w:sz w:val="20"/>
          <w:szCs w:val="20"/>
        </w:rPr>
        <w:t xml:space="preserve">For per-UE pre-MG, </w:t>
      </w:r>
    </w:p>
    <w:p w:rsidR="00496C5B" w:rsidRPr="00853B11" w:rsidRDefault="00496C5B" w:rsidP="00496C5B">
      <w:pPr>
        <w:pStyle w:val="a7"/>
        <w:numPr>
          <w:ilvl w:val="3"/>
          <w:numId w:val="38"/>
        </w:numPr>
        <w:overflowPunct w:val="0"/>
        <w:autoSpaceDE w:val="0"/>
        <w:autoSpaceDN w:val="0"/>
        <w:adjustRightInd w:val="0"/>
        <w:ind w:left="851"/>
        <w:contextualSpacing w:val="0"/>
        <w:textAlignment w:val="baseline"/>
        <w:rPr>
          <w:rFonts w:eastAsiaTheme="minorEastAsia"/>
          <w:b/>
          <w:sz w:val="20"/>
          <w:szCs w:val="20"/>
        </w:rPr>
      </w:pPr>
      <w:r w:rsidRPr="00853B11">
        <w:rPr>
          <w:rFonts w:eastAsiaTheme="minorEastAsia"/>
          <w:b/>
          <w:sz w:val="20"/>
          <w:szCs w:val="20"/>
        </w:rPr>
        <w:t xml:space="preserve">UE assumes the pre-MG is ON as long as the pre-MG status for active DL BWP in one of the activated CCs or for one of the deactivated SCCs is ON, </w:t>
      </w:r>
    </w:p>
    <w:p w:rsidR="00496C5B" w:rsidRPr="00853B11" w:rsidRDefault="00496C5B" w:rsidP="00496C5B">
      <w:pPr>
        <w:pStyle w:val="a7"/>
        <w:numPr>
          <w:ilvl w:val="3"/>
          <w:numId w:val="38"/>
        </w:numPr>
        <w:overflowPunct w:val="0"/>
        <w:autoSpaceDE w:val="0"/>
        <w:autoSpaceDN w:val="0"/>
        <w:adjustRightInd w:val="0"/>
        <w:ind w:left="851"/>
        <w:contextualSpacing w:val="0"/>
        <w:textAlignment w:val="baseline"/>
        <w:rPr>
          <w:rFonts w:eastAsiaTheme="minorEastAsia"/>
          <w:b/>
          <w:sz w:val="20"/>
          <w:szCs w:val="20"/>
        </w:rPr>
      </w:pPr>
      <w:r w:rsidRPr="00853B11">
        <w:rPr>
          <w:rFonts w:eastAsiaTheme="minorEastAsia"/>
          <w:b/>
          <w:sz w:val="20"/>
          <w:szCs w:val="20"/>
        </w:rPr>
        <w:t xml:space="preserve">and assume the pre-MG is OFF only if the pre-MG status for active DL BWP in all activated CCs and for all deactivated SCCs are OFF. </w:t>
      </w:r>
    </w:p>
    <w:p w:rsidR="00496C5B" w:rsidRPr="00853B11" w:rsidRDefault="00496C5B" w:rsidP="00496C5B">
      <w:pPr>
        <w:pStyle w:val="a7"/>
        <w:numPr>
          <w:ilvl w:val="2"/>
          <w:numId w:val="38"/>
        </w:numPr>
        <w:overflowPunct w:val="0"/>
        <w:autoSpaceDE w:val="0"/>
        <w:autoSpaceDN w:val="0"/>
        <w:adjustRightInd w:val="0"/>
        <w:ind w:left="426"/>
        <w:contextualSpacing w:val="0"/>
        <w:textAlignment w:val="baseline"/>
        <w:rPr>
          <w:rFonts w:eastAsiaTheme="minorEastAsia"/>
          <w:b/>
          <w:sz w:val="20"/>
          <w:szCs w:val="20"/>
        </w:rPr>
      </w:pPr>
      <w:r w:rsidRPr="00853B11">
        <w:rPr>
          <w:rFonts w:eastAsiaTheme="minorEastAsia"/>
          <w:b/>
          <w:sz w:val="20"/>
          <w:szCs w:val="20"/>
        </w:rPr>
        <w:t xml:space="preserve">For per-FR pre-MG, </w:t>
      </w:r>
    </w:p>
    <w:p w:rsidR="00496C5B" w:rsidRPr="00853B11" w:rsidRDefault="00496C5B" w:rsidP="00496C5B">
      <w:pPr>
        <w:pStyle w:val="a7"/>
        <w:numPr>
          <w:ilvl w:val="3"/>
          <w:numId w:val="38"/>
        </w:numPr>
        <w:overflowPunct w:val="0"/>
        <w:autoSpaceDE w:val="0"/>
        <w:autoSpaceDN w:val="0"/>
        <w:adjustRightInd w:val="0"/>
        <w:ind w:left="851"/>
        <w:contextualSpacing w:val="0"/>
        <w:textAlignment w:val="baseline"/>
        <w:rPr>
          <w:rFonts w:eastAsiaTheme="minorEastAsia"/>
          <w:b/>
          <w:sz w:val="20"/>
          <w:szCs w:val="20"/>
        </w:rPr>
      </w:pPr>
      <w:r w:rsidRPr="00853B11">
        <w:rPr>
          <w:rFonts w:eastAsiaTheme="minorEastAsia"/>
          <w:b/>
          <w:sz w:val="20"/>
          <w:szCs w:val="20"/>
        </w:rPr>
        <w:t xml:space="preserve">UE assumes the pre-MG is ON as long as the pre-MG status for active DL BWP in one of the activated CCs or for one of the deactivated SCCs in the same FR is ON, </w:t>
      </w:r>
    </w:p>
    <w:p w:rsidR="00496C5B" w:rsidRPr="00853B11" w:rsidRDefault="00496C5B" w:rsidP="00496C5B">
      <w:pPr>
        <w:pStyle w:val="a7"/>
        <w:numPr>
          <w:ilvl w:val="3"/>
          <w:numId w:val="38"/>
        </w:numPr>
        <w:overflowPunct w:val="0"/>
        <w:autoSpaceDE w:val="0"/>
        <w:autoSpaceDN w:val="0"/>
        <w:adjustRightInd w:val="0"/>
        <w:spacing w:after="240"/>
        <w:ind w:left="851"/>
        <w:contextualSpacing w:val="0"/>
        <w:textAlignment w:val="baseline"/>
        <w:rPr>
          <w:rFonts w:eastAsiaTheme="minorEastAsia"/>
          <w:b/>
          <w:sz w:val="20"/>
          <w:szCs w:val="20"/>
        </w:rPr>
      </w:pPr>
      <w:r w:rsidRPr="00853B11">
        <w:rPr>
          <w:rFonts w:eastAsiaTheme="minorEastAsia"/>
          <w:b/>
          <w:sz w:val="20"/>
          <w:szCs w:val="20"/>
        </w:rPr>
        <w:t>and assume the pre-MG is OFF only if the pre-MG status for active DL BWP in all activated CCs and for all deactivated SCCs in the same FR are OFF.</w:t>
      </w:r>
    </w:p>
    <w:p w:rsidR="00496C5B" w:rsidRPr="00EC0835" w:rsidRDefault="00496C5B" w:rsidP="00496C5B">
      <w:pPr>
        <w:spacing w:before="240"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Pr>
          <w:rFonts w:ascii="Times New Roman" w:hAnsi="Times New Roman" w:cs="Times New Roman"/>
          <w:b/>
          <w:sz w:val="20"/>
          <w:szCs w:val="20"/>
        </w:rPr>
        <w:t>roposal 4</w:t>
      </w:r>
      <w:r w:rsidRPr="0038386A">
        <w:rPr>
          <w:rFonts w:ascii="Times New Roman" w:hAnsi="Times New Roman" w:cs="Times New Roman"/>
          <w:b/>
          <w:sz w:val="20"/>
          <w:szCs w:val="20"/>
        </w:rPr>
        <w:t xml:space="preserve">: UE restarts a new measurement process </w:t>
      </w:r>
      <w:r>
        <w:rPr>
          <w:rFonts w:ascii="Times New Roman" w:hAnsi="Times New Roman" w:cs="Times New Roman"/>
          <w:b/>
          <w:sz w:val="20"/>
          <w:szCs w:val="20"/>
        </w:rPr>
        <w:t>once</w:t>
      </w:r>
      <w:r w:rsidRPr="0038386A">
        <w:rPr>
          <w:rFonts w:ascii="Times New Roman" w:hAnsi="Times New Roman" w:cs="Times New Roman"/>
          <w:b/>
          <w:sz w:val="20"/>
          <w:szCs w:val="20"/>
        </w:rPr>
        <w:t xml:space="preserve"> the pre-MG status changes.</w:t>
      </w:r>
    </w:p>
    <w:p w:rsidR="00496C5B" w:rsidRDefault="00496C5B" w:rsidP="00496C5B">
      <w:pPr>
        <w:spacing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Pr>
          <w:rFonts w:ascii="Times New Roman" w:hAnsi="Times New Roman" w:cs="Times New Roman"/>
          <w:b/>
          <w:sz w:val="20"/>
          <w:szCs w:val="20"/>
        </w:rPr>
        <w:t>roposal 5</w:t>
      </w:r>
      <w:r w:rsidRPr="0038386A">
        <w:rPr>
          <w:rFonts w:ascii="Times New Roman" w:hAnsi="Times New Roman" w:cs="Times New Roman"/>
          <w:b/>
          <w:sz w:val="20"/>
          <w:szCs w:val="20"/>
        </w:rPr>
        <w:t xml:space="preserve">: </w:t>
      </w:r>
      <w:r w:rsidRPr="00A967E3">
        <w:rPr>
          <w:rFonts w:ascii="Times New Roman" w:hAnsi="Times New Roman" w:cs="Times New Roman"/>
          <w:b/>
          <w:sz w:val="20"/>
          <w:szCs w:val="20"/>
        </w:rPr>
        <w:t>Define the measurement period requirements for the cases (with activativated pre-MG and deactivated pre-MG) separately.</w:t>
      </w:r>
    </w:p>
    <w:p w:rsidR="00496C5B" w:rsidRPr="00A967E3" w:rsidRDefault="00496C5B" w:rsidP="00496C5B">
      <w:pPr>
        <w:pStyle w:val="a7"/>
        <w:numPr>
          <w:ilvl w:val="0"/>
          <w:numId w:val="45"/>
        </w:numPr>
        <w:spacing w:after="240"/>
        <w:rPr>
          <w:b/>
          <w:sz w:val="20"/>
          <w:szCs w:val="20"/>
        </w:rPr>
      </w:pPr>
      <w:r>
        <w:rPr>
          <w:b/>
          <w:sz w:val="20"/>
          <w:szCs w:val="20"/>
        </w:rPr>
        <w:lastRenderedPageBreak/>
        <w:t>I</w:t>
      </w:r>
      <w:r w:rsidRPr="00A967E3">
        <w:rPr>
          <w:b/>
          <w:sz w:val="20"/>
          <w:szCs w:val="20"/>
        </w:rPr>
        <w:t>f the pre-MG is activated, the measurement period should be same as existing requirements when legacy MG is configured</w:t>
      </w:r>
      <w:r>
        <w:rPr>
          <w:b/>
          <w:sz w:val="20"/>
          <w:szCs w:val="20"/>
        </w:rPr>
        <w:t>.</w:t>
      </w:r>
    </w:p>
    <w:p w:rsidR="00496C5B" w:rsidRPr="00A967E3" w:rsidRDefault="00496C5B" w:rsidP="00496C5B">
      <w:pPr>
        <w:pStyle w:val="a7"/>
        <w:numPr>
          <w:ilvl w:val="0"/>
          <w:numId w:val="45"/>
        </w:numPr>
        <w:spacing w:after="240"/>
        <w:rPr>
          <w:b/>
          <w:sz w:val="20"/>
          <w:szCs w:val="20"/>
        </w:rPr>
      </w:pPr>
      <w:r>
        <w:rPr>
          <w:b/>
          <w:sz w:val="20"/>
          <w:szCs w:val="20"/>
        </w:rPr>
        <w:t>I</w:t>
      </w:r>
      <w:r w:rsidRPr="00A967E3">
        <w:rPr>
          <w:b/>
          <w:sz w:val="20"/>
          <w:szCs w:val="20"/>
        </w:rPr>
        <w:t>f the pre-MG is deactivated, the measurement period should be same as existing requirements when legacy MG is not configured</w:t>
      </w:r>
      <w:r>
        <w:rPr>
          <w:b/>
          <w:sz w:val="20"/>
          <w:szCs w:val="20"/>
        </w:rPr>
        <w:t>.</w:t>
      </w:r>
    </w:p>
    <w:p w:rsidR="00496C5B" w:rsidRPr="00A967E3" w:rsidRDefault="00496C5B" w:rsidP="00496C5B">
      <w:pPr>
        <w:pStyle w:val="a7"/>
        <w:numPr>
          <w:ilvl w:val="0"/>
          <w:numId w:val="45"/>
        </w:numPr>
        <w:spacing w:after="240"/>
        <w:rPr>
          <w:b/>
          <w:sz w:val="20"/>
          <w:szCs w:val="20"/>
        </w:rPr>
      </w:pPr>
      <w:r>
        <w:rPr>
          <w:b/>
          <w:sz w:val="20"/>
          <w:szCs w:val="20"/>
        </w:rPr>
        <w:t>I</w:t>
      </w:r>
      <w:r w:rsidRPr="00A967E3">
        <w:rPr>
          <w:b/>
          <w:sz w:val="20"/>
          <w:szCs w:val="20"/>
        </w:rPr>
        <w:t>f the pre-MG status is changed during the measurement period, UE may re-start the measurement</w:t>
      </w:r>
      <w:r>
        <w:rPr>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B75389">
        <w:rPr>
          <w:rFonts w:ascii="Times New Roman" w:hAnsi="Times New Roman" w:cs="Times New Roman"/>
          <w:sz w:val="20"/>
          <w:szCs w:val="20"/>
        </w:rPr>
        <w:t>1]</w:t>
      </w:r>
      <w:r w:rsidR="00B75389">
        <w:rPr>
          <w:rFonts w:ascii="Times New Roman" w:hAnsi="Times New Roman" w:cs="Times New Roman"/>
          <w:sz w:val="20"/>
          <w:szCs w:val="20"/>
        </w:rPr>
        <w:tab/>
        <w:t>R4</w:t>
      </w:r>
      <w:r>
        <w:rPr>
          <w:rFonts w:ascii="Times New Roman" w:hAnsi="Times New Roman" w:cs="Times New Roman"/>
          <w:sz w:val="20"/>
          <w:szCs w:val="20"/>
        </w:rPr>
        <w:t>-2</w:t>
      </w:r>
      <w:r w:rsidR="00B75389">
        <w:rPr>
          <w:rFonts w:ascii="Times New Roman" w:hAnsi="Times New Roman" w:cs="Times New Roman"/>
          <w:sz w:val="20"/>
          <w:szCs w:val="20"/>
        </w:rPr>
        <w:t>1</w:t>
      </w:r>
      <w:r w:rsidR="00EB5AFF">
        <w:rPr>
          <w:rFonts w:ascii="Times New Roman" w:hAnsi="Times New Roman" w:cs="Times New Roman"/>
          <w:sz w:val="20"/>
          <w:szCs w:val="20"/>
        </w:rPr>
        <w:t>20301</w:t>
      </w:r>
      <w:r>
        <w:rPr>
          <w:rFonts w:ascii="Times New Roman" w:hAnsi="Times New Roman" w:cs="Times New Roman"/>
          <w:sz w:val="20"/>
          <w:szCs w:val="20"/>
        </w:rPr>
        <w:tab/>
      </w:r>
      <w:r w:rsidR="001E4503" w:rsidRPr="001E4503">
        <w:rPr>
          <w:rFonts w:ascii="Times New Roman" w:hAnsi="Times New Roman" w:cs="Times New Roman"/>
          <w:sz w:val="20"/>
          <w:szCs w:val="20"/>
        </w:rPr>
        <w:t>WF on R17 NR MG enhancements – Pre-configured MG</w:t>
      </w:r>
      <w:r w:rsidR="00B75389">
        <w:rPr>
          <w:rFonts w:ascii="Times New Roman" w:hAnsi="Times New Roman" w:cs="Times New Roman"/>
          <w:sz w:val="20"/>
          <w:szCs w:val="20"/>
        </w:rPr>
        <w:t>,</w:t>
      </w:r>
      <w:r w:rsidR="001E4503">
        <w:rPr>
          <w:rFonts w:ascii="Times New Roman" w:hAnsi="Times New Roman" w:cs="Times New Roman"/>
          <w:sz w:val="20"/>
          <w:szCs w:val="20"/>
        </w:rPr>
        <w:tab/>
      </w:r>
      <w:r>
        <w:rPr>
          <w:rFonts w:ascii="Times New Roman" w:hAnsi="Times New Roman" w:cs="Times New Roman"/>
          <w:sz w:val="20"/>
          <w:szCs w:val="20"/>
        </w:rPr>
        <w:t>Intel</w:t>
      </w:r>
    </w:p>
    <w:p w:rsidR="00304C43" w:rsidRPr="00B75389" w:rsidRDefault="00304C43" w:rsidP="006A69F0">
      <w:pPr>
        <w:rPr>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EB5AFF">
        <w:rPr>
          <w:rFonts w:ascii="Times New Roman" w:hAnsi="Times New Roman" w:cs="Times New Roman"/>
          <w:sz w:val="20"/>
          <w:szCs w:val="20"/>
        </w:rPr>
        <w:t>TS38.331</w:t>
      </w:r>
      <w:bookmarkStart w:id="0" w:name="_GoBack"/>
      <w:bookmarkEnd w:id="0"/>
    </w:p>
    <w:sectPr w:rsidR="00304C43" w:rsidRPr="00B753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5DE" w:rsidRDefault="008925DE" w:rsidP="0054389C">
      <w:r>
        <w:separator/>
      </w:r>
    </w:p>
  </w:endnote>
  <w:endnote w:type="continuationSeparator" w:id="0">
    <w:p w:rsidR="008925DE" w:rsidRDefault="008925DE"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5DE" w:rsidRDefault="008925DE" w:rsidP="0054389C">
      <w:r>
        <w:separator/>
      </w:r>
    </w:p>
  </w:footnote>
  <w:footnote w:type="continuationSeparator" w:id="0">
    <w:p w:rsidR="008925DE" w:rsidRDefault="008925DE"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670B7E"/>
    <w:multiLevelType w:val="hybridMultilevel"/>
    <w:tmpl w:val="1A58FE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B4051B"/>
    <w:multiLevelType w:val="hybridMultilevel"/>
    <w:tmpl w:val="26D8888C"/>
    <w:lvl w:ilvl="0" w:tplc="F440FC22">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40653"/>
    <w:multiLevelType w:val="hybridMultilevel"/>
    <w:tmpl w:val="79041D52"/>
    <w:lvl w:ilvl="0" w:tplc="163C7928">
      <w:start w:val="1"/>
      <w:numFmt w:val="bullet"/>
      <w:lvlText w:val="•"/>
      <w:lvlJc w:val="left"/>
      <w:pPr>
        <w:tabs>
          <w:tab w:val="num" w:pos="720"/>
        </w:tabs>
        <w:ind w:left="720" w:hanging="360"/>
      </w:pPr>
      <w:rPr>
        <w:rFonts w:ascii="Arial" w:hAnsi="Arial" w:hint="default"/>
      </w:rPr>
    </w:lvl>
    <w:lvl w:ilvl="1" w:tplc="50BE100A">
      <w:start w:val="18052"/>
      <w:numFmt w:val="bullet"/>
      <w:lvlText w:val="–"/>
      <w:lvlJc w:val="left"/>
      <w:pPr>
        <w:tabs>
          <w:tab w:val="num" w:pos="1440"/>
        </w:tabs>
        <w:ind w:left="1440" w:hanging="360"/>
      </w:pPr>
      <w:rPr>
        <w:rFonts w:ascii="Arial" w:hAnsi="Arial" w:hint="default"/>
      </w:rPr>
    </w:lvl>
    <w:lvl w:ilvl="2" w:tplc="BC34A39A" w:tentative="1">
      <w:start w:val="1"/>
      <w:numFmt w:val="bullet"/>
      <w:lvlText w:val="•"/>
      <w:lvlJc w:val="left"/>
      <w:pPr>
        <w:tabs>
          <w:tab w:val="num" w:pos="2160"/>
        </w:tabs>
        <w:ind w:left="2160" w:hanging="360"/>
      </w:pPr>
      <w:rPr>
        <w:rFonts w:ascii="Arial" w:hAnsi="Arial" w:hint="default"/>
      </w:rPr>
    </w:lvl>
    <w:lvl w:ilvl="3" w:tplc="CFB01C40" w:tentative="1">
      <w:start w:val="1"/>
      <w:numFmt w:val="bullet"/>
      <w:lvlText w:val="•"/>
      <w:lvlJc w:val="left"/>
      <w:pPr>
        <w:tabs>
          <w:tab w:val="num" w:pos="2880"/>
        </w:tabs>
        <w:ind w:left="2880" w:hanging="360"/>
      </w:pPr>
      <w:rPr>
        <w:rFonts w:ascii="Arial" w:hAnsi="Arial" w:hint="default"/>
      </w:rPr>
    </w:lvl>
    <w:lvl w:ilvl="4" w:tplc="2914344E" w:tentative="1">
      <w:start w:val="1"/>
      <w:numFmt w:val="bullet"/>
      <w:lvlText w:val="•"/>
      <w:lvlJc w:val="left"/>
      <w:pPr>
        <w:tabs>
          <w:tab w:val="num" w:pos="3600"/>
        </w:tabs>
        <w:ind w:left="3600" w:hanging="360"/>
      </w:pPr>
      <w:rPr>
        <w:rFonts w:ascii="Arial" w:hAnsi="Arial" w:hint="default"/>
      </w:rPr>
    </w:lvl>
    <w:lvl w:ilvl="5" w:tplc="EAF44B4E" w:tentative="1">
      <w:start w:val="1"/>
      <w:numFmt w:val="bullet"/>
      <w:lvlText w:val="•"/>
      <w:lvlJc w:val="left"/>
      <w:pPr>
        <w:tabs>
          <w:tab w:val="num" w:pos="4320"/>
        </w:tabs>
        <w:ind w:left="4320" w:hanging="360"/>
      </w:pPr>
      <w:rPr>
        <w:rFonts w:ascii="Arial" w:hAnsi="Arial" w:hint="default"/>
      </w:rPr>
    </w:lvl>
    <w:lvl w:ilvl="6" w:tplc="3F006BE0" w:tentative="1">
      <w:start w:val="1"/>
      <w:numFmt w:val="bullet"/>
      <w:lvlText w:val="•"/>
      <w:lvlJc w:val="left"/>
      <w:pPr>
        <w:tabs>
          <w:tab w:val="num" w:pos="5040"/>
        </w:tabs>
        <w:ind w:left="5040" w:hanging="360"/>
      </w:pPr>
      <w:rPr>
        <w:rFonts w:ascii="Arial" w:hAnsi="Arial" w:hint="default"/>
      </w:rPr>
    </w:lvl>
    <w:lvl w:ilvl="7" w:tplc="09C29406" w:tentative="1">
      <w:start w:val="1"/>
      <w:numFmt w:val="bullet"/>
      <w:lvlText w:val="•"/>
      <w:lvlJc w:val="left"/>
      <w:pPr>
        <w:tabs>
          <w:tab w:val="num" w:pos="5760"/>
        </w:tabs>
        <w:ind w:left="5760" w:hanging="360"/>
      </w:pPr>
      <w:rPr>
        <w:rFonts w:ascii="Arial" w:hAnsi="Arial" w:hint="default"/>
      </w:rPr>
    </w:lvl>
    <w:lvl w:ilvl="8" w:tplc="41A841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3B594F"/>
    <w:multiLevelType w:val="hybridMultilevel"/>
    <w:tmpl w:val="61F44BD8"/>
    <w:lvl w:ilvl="0" w:tplc="1BD2BDC4">
      <w:start w:val="1"/>
      <w:numFmt w:val="bullet"/>
      <w:lvlText w:val="•"/>
      <w:lvlJc w:val="left"/>
      <w:pPr>
        <w:tabs>
          <w:tab w:val="num" w:pos="720"/>
        </w:tabs>
        <w:ind w:left="720" w:hanging="360"/>
      </w:pPr>
      <w:rPr>
        <w:rFonts w:ascii="Arial" w:hAnsi="Arial" w:hint="default"/>
      </w:rPr>
    </w:lvl>
    <w:lvl w:ilvl="1" w:tplc="B8DA037E">
      <w:numFmt w:val="none"/>
      <w:lvlText w:val=""/>
      <w:lvlJc w:val="left"/>
      <w:pPr>
        <w:tabs>
          <w:tab w:val="num" w:pos="360"/>
        </w:tabs>
      </w:pPr>
    </w:lvl>
    <w:lvl w:ilvl="2" w:tplc="622A593A" w:tentative="1">
      <w:start w:val="1"/>
      <w:numFmt w:val="bullet"/>
      <w:lvlText w:val="•"/>
      <w:lvlJc w:val="left"/>
      <w:pPr>
        <w:tabs>
          <w:tab w:val="num" w:pos="2160"/>
        </w:tabs>
        <w:ind w:left="2160" w:hanging="360"/>
      </w:pPr>
      <w:rPr>
        <w:rFonts w:ascii="Arial" w:hAnsi="Arial" w:hint="default"/>
      </w:rPr>
    </w:lvl>
    <w:lvl w:ilvl="3" w:tplc="A0CE8DB2" w:tentative="1">
      <w:start w:val="1"/>
      <w:numFmt w:val="bullet"/>
      <w:lvlText w:val="•"/>
      <w:lvlJc w:val="left"/>
      <w:pPr>
        <w:tabs>
          <w:tab w:val="num" w:pos="2880"/>
        </w:tabs>
        <w:ind w:left="2880" w:hanging="360"/>
      </w:pPr>
      <w:rPr>
        <w:rFonts w:ascii="Arial" w:hAnsi="Arial" w:hint="default"/>
      </w:rPr>
    </w:lvl>
    <w:lvl w:ilvl="4" w:tplc="511E78AC" w:tentative="1">
      <w:start w:val="1"/>
      <w:numFmt w:val="bullet"/>
      <w:lvlText w:val="•"/>
      <w:lvlJc w:val="left"/>
      <w:pPr>
        <w:tabs>
          <w:tab w:val="num" w:pos="3600"/>
        </w:tabs>
        <w:ind w:left="3600" w:hanging="360"/>
      </w:pPr>
      <w:rPr>
        <w:rFonts w:ascii="Arial" w:hAnsi="Arial" w:hint="default"/>
      </w:rPr>
    </w:lvl>
    <w:lvl w:ilvl="5" w:tplc="F1DE938C" w:tentative="1">
      <w:start w:val="1"/>
      <w:numFmt w:val="bullet"/>
      <w:lvlText w:val="•"/>
      <w:lvlJc w:val="left"/>
      <w:pPr>
        <w:tabs>
          <w:tab w:val="num" w:pos="4320"/>
        </w:tabs>
        <w:ind w:left="4320" w:hanging="360"/>
      </w:pPr>
      <w:rPr>
        <w:rFonts w:ascii="Arial" w:hAnsi="Arial" w:hint="default"/>
      </w:rPr>
    </w:lvl>
    <w:lvl w:ilvl="6" w:tplc="F4B21224" w:tentative="1">
      <w:start w:val="1"/>
      <w:numFmt w:val="bullet"/>
      <w:lvlText w:val="•"/>
      <w:lvlJc w:val="left"/>
      <w:pPr>
        <w:tabs>
          <w:tab w:val="num" w:pos="5040"/>
        </w:tabs>
        <w:ind w:left="5040" w:hanging="360"/>
      </w:pPr>
      <w:rPr>
        <w:rFonts w:ascii="Arial" w:hAnsi="Arial" w:hint="default"/>
      </w:rPr>
    </w:lvl>
    <w:lvl w:ilvl="7" w:tplc="580C4DDA" w:tentative="1">
      <w:start w:val="1"/>
      <w:numFmt w:val="bullet"/>
      <w:lvlText w:val="•"/>
      <w:lvlJc w:val="left"/>
      <w:pPr>
        <w:tabs>
          <w:tab w:val="num" w:pos="5760"/>
        </w:tabs>
        <w:ind w:left="5760" w:hanging="360"/>
      </w:pPr>
      <w:rPr>
        <w:rFonts w:ascii="Arial" w:hAnsi="Arial" w:hint="default"/>
      </w:rPr>
    </w:lvl>
    <w:lvl w:ilvl="8" w:tplc="3C9A29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9E3E7D"/>
    <w:multiLevelType w:val="hybridMultilevel"/>
    <w:tmpl w:val="FF561B42"/>
    <w:lvl w:ilvl="0" w:tplc="1F4E7828">
      <w:start w:val="1"/>
      <w:numFmt w:val="bullet"/>
      <w:lvlText w:val="•"/>
      <w:lvlJc w:val="left"/>
      <w:pPr>
        <w:tabs>
          <w:tab w:val="num" w:pos="720"/>
        </w:tabs>
        <w:ind w:left="720" w:hanging="360"/>
      </w:pPr>
      <w:rPr>
        <w:rFonts w:ascii="Arial" w:hAnsi="Arial" w:hint="default"/>
      </w:rPr>
    </w:lvl>
    <w:lvl w:ilvl="1" w:tplc="162AB56E">
      <w:start w:val="30628"/>
      <w:numFmt w:val="bullet"/>
      <w:lvlText w:val="–"/>
      <w:lvlJc w:val="left"/>
      <w:pPr>
        <w:tabs>
          <w:tab w:val="num" w:pos="1440"/>
        </w:tabs>
        <w:ind w:left="1440" w:hanging="360"/>
      </w:pPr>
      <w:rPr>
        <w:rFonts w:ascii="Arial" w:hAnsi="Arial" w:hint="default"/>
      </w:rPr>
    </w:lvl>
    <w:lvl w:ilvl="2" w:tplc="D8FA8B12" w:tentative="1">
      <w:start w:val="1"/>
      <w:numFmt w:val="bullet"/>
      <w:lvlText w:val="•"/>
      <w:lvlJc w:val="left"/>
      <w:pPr>
        <w:tabs>
          <w:tab w:val="num" w:pos="2160"/>
        </w:tabs>
        <w:ind w:left="2160" w:hanging="360"/>
      </w:pPr>
      <w:rPr>
        <w:rFonts w:ascii="Arial" w:hAnsi="Arial" w:hint="default"/>
      </w:rPr>
    </w:lvl>
    <w:lvl w:ilvl="3" w:tplc="D75687B0" w:tentative="1">
      <w:start w:val="1"/>
      <w:numFmt w:val="bullet"/>
      <w:lvlText w:val="•"/>
      <w:lvlJc w:val="left"/>
      <w:pPr>
        <w:tabs>
          <w:tab w:val="num" w:pos="2880"/>
        </w:tabs>
        <w:ind w:left="2880" w:hanging="360"/>
      </w:pPr>
      <w:rPr>
        <w:rFonts w:ascii="Arial" w:hAnsi="Arial" w:hint="default"/>
      </w:rPr>
    </w:lvl>
    <w:lvl w:ilvl="4" w:tplc="D56C444C" w:tentative="1">
      <w:start w:val="1"/>
      <w:numFmt w:val="bullet"/>
      <w:lvlText w:val="•"/>
      <w:lvlJc w:val="left"/>
      <w:pPr>
        <w:tabs>
          <w:tab w:val="num" w:pos="3600"/>
        </w:tabs>
        <w:ind w:left="3600" w:hanging="360"/>
      </w:pPr>
      <w:rPr>
        <w:rFonts w:ascii="Arial" w:hAnsi="Arial" w:hint="default"/>
      </w:rPr>
    </w:lvl>
    <w:lvl w:ilvl="5" w:tplc="98F0CAC8" w:tentative="1">
      <w:start w:val="1"/>
      <w:numFmt w:val="bullet"/>
      <w:lvlText w:val="•"/>
      <w:lvlJc w:val="left"/>
      <w:pPr>
        <w:tabs>
          <w:tab w:val="num" w:pos="4320"/>
        </w:tabs>
        <w:ind w:left="4320" w:hanging="360"/>
      </w:pPr>
      <w:rPr>
        <w:rFonts w:ascii="Arial" w:hAnsi="Arial" w:hint="default"/>
      </w:rPr>
    </w:lvl>
    <w:lvl w:ilvl="6" w:tplc="01985DBA" w:tentative="1">
      <w:start w:val="1"/>
      <w:numFmt w:val="bullet"/>
      <w:lvlText w:val="•"/>
      <w:lvlJc w:val="left"/>
      <w:pPr>
        <w:tabs>
          <w:tab w:val="num" w:pos="5040"/>
        </w:tabs>
        <w:ind w:left="5040" w:hanging="360"/>
      </w:pPr>
      <w:rPr>
        <w:rFonts w:ascii="Arial" w:hAnsi="Arial" w:hint="default"/>
      </w:rPr>
    </w:lvl>
    <w:lvl w:ilvl="7" w:tplc="03F2AD0A" w:tentative="1">
      <w:start w:val="1"/>
      <w:numFmt w:val="bullet"/>
      <w:lvlText w:val="•"/>
      <w:lvlJc w:val="left"/>
      <w:pPr>
        <w:tabs>
          <w:tab w:val="num" w:pos="5760"/>
        </w:tabs>
        <w:ind w:left="5760" w:hanging="360"/>
      </w:pPr>
      <w:rPr>
        <w:rFonts w:ascii="Arial" w:hAnsi="Arial" w:hint="default"/>
      </w:rPr>
    </w:lvl>
    <w:lvl w:ilvl="8" w:tplc="05ECAF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5A7C08"/>
    <w:multiLevelType w:val="hybridMultilevel"/>
    <w:tmpl w:val="2BE8C79C"/>
    <w:lvl w:ilvl="0" w:tplc="4C166B58">
      <w:start w:val="1"/>
      <w:numFmt w:val="bullet"/>
      <w:lvlText w:val="•"/>
      <w:lvlJc w:val="left"/>
      <w:pPr>
        <w:tabs>
          <w:tab w:val="num" w:pos="720"/>
        </w:tabs>
        <w:ind w:left="720" w:hanging="360"/>
      </w:pPr>
      <w:rPr>
        <w:rFonts w:ascii="Arial" w:hAnsi="Arial" w:hint="default"/>
      </w:rPr>
    </w:lvl>
    <w:lvl w:ilvl="1" w:tplc="7760278E">
      <w:start w:val="30628"/>
      <w:numFmt w:val="bullet"/>
      <w:lvlText w:val="–"/>
      <w:lvlJc w:val="left"/>
      <w:pPr>
        <w:tabs>
          <w:tab w:val="num" w:pos="1440"/>
        </w:tabs>
        <w:ind w:left="1440" w:hanging="360"/>
      </w:pPr>
      <w:rPr>
        <w:rFonts w:ascii="Arial" w:hAnsi="Arial" w:hint="default"/>
      </w:rPr>
    </w:lvl>
    <w:lvl w:ilvl="2" w:tplc="EF8EB600">
      <w:start w:val="30628"/>
      <w:numFmt w:val="bullet"/>
      <w:lvlText w:val="•"/>
      <w:lvlJc w:val="left"/>
      <w:pPr>
        <w:tabs>
          <w:tab w:val="num" w:pos="2160"/>
        </w:tabs>
        <w:ind w:left="2160" w:hanging="360"/>
      </w:pPr>
      <w:rPr>
        <w:rFonts w:ascii="Arial" w:hAnsi="Arial" w:hint="default"/>
      </w:rPr>
    </w:lvl>
    <w:lvl w:ilvl="3" w:tplc="C3BC9134" w:tentative="1">
      <w:start w:val="1"/>
      <w:numFmt w:val="bullet"/>
      <w:lvlText w:val="•"/>
      <w:lvlJc w:val="left"/>
      <w:pPr>
        <w:tabs>
          <w:tab w:val="num" w:pos="2880"/>
        </w:tabs>
        <w:ind w:left="2880" w:hanging="360"/>
      </w:pPr>
      <w:rPr>
        <w:rFonts w:ascii="Arial" w:hAnsi="Arial" w:hint="default"/>
      </w:rPr>
    </w:lvl>
    <w:lvl w:ilvl="4" w:tplc="057EED54" w:tentative="1">
      <w:start w:val="1"/>
      <w:numFmt w:val="bullet"/>
      <w:lvlText w:val="•"/>
      <w:lvlJc w:val="left"/>
      <w:pPr>
        <w:tabs>
          <w:tab w:val="num" w:pos="3600"/>
        </w:tabs>
        <w:ind w:left="3600" w:hanging="360"/>
      </w:pPr>
      <w:rPr>
        <w:rFonts w:ascii="Arial" w:hAnsi="Arial" w:hint="default"/>
      </w:rPr>
    </w:lvl>
    <w:lvl w:ilvl="5" w:tplc="4E56C106" w:tentative="1">
      <w:start w:val="1"/>
      <w:numFmt w:val="bullet"/>
      <w:lvlText w:val="•"/>
      <w:lvlJc w:val="left"/>
      <w:pPr>
        <w:tabs>
          <w:tab w:val="num" w:pos="4320"/>
        </w:tabs>
        <w:ind w:left="4320" w:hanging="360"/>
      </w:pPr>
      <w:rPr>
        <w:rFonts w:ascii="Arial" w:hAnsi="Arial" w:hint="default"/>
      </w:rPr>
    </w:lvl>
    <w:lvl w:ilvl="6" w:tplc="A2B0B9BA" w:tentative="1">
      <w:start w:val="1"/>
      <w:numFmt w:val="bullet"/>
      <w:lvlText w:val="•"/>
      <w:lvlJc w:val="left"/>
      <w:pPr>
        <w:tabs>
          <w:tab w:val="num" w:pos="5040"/>
        </w:tabs>
        <w:ind w:left="5040" w:hanging="360"/>
      </w:pPr>
      <w:rPr>
        <w:rFonts w:ascii="Arial" w:hAnsi="Arial" w:hint="default"/>
      </w:rPr>
    </w:lvl>
    <w:lvl w:ilvl="7" w:tplc="BA02764A" w:tentative="1">
      <w:start w:val="1"/>
      <w:numFmt w:val="bullet"/>
      <w:lvlText w:val="•"/>
      <w:lvlJc w:val="left"/>
      <w:pPr>
        <w:tabs>
          <w:tab w:val="num" w:pos="5760"/>
        </w:tabs>
        <w:ind w:left="5760" w:hanging="360"/>
      </w:pPr>
      <w:rPr>
        <w:rFonts w:ascii="Arial" w:hAnsi="Arial" w:hint="default"/>
      </w:rPr>
    </w:lvl>
    <w:lvl w:ilvl="8" w:tplc="5BC89B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B406C8"/>
    <w:multiLevelType w:val="hybridMultilevel"/>
    <w:tmpl w:val="92240512"/>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F9EC9E2C">
      <w:start w:val="1"/>
      <w:numFmt w:val="bullet"/>
      <w:lvlText w:val="•"/>
      <w:lvlJc w:val="left"/>
      <w:pPr>
        <w:tabs>
          <w:tab w:val="num" w:pos="2880"/>
        </w:tabs>
        <w:ind w:left="2880" w:hanging="360"/>
      </w:pPr>
      <w:rPr>
        <w:rFonts w:ascii="Arial" w:hAnsi="Arial" w:hint="default"/>
      </w:rPr>
    </w:lvl>
    <w:lvl w:ilvl="4" w:tplc="95F8CEBA">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C235BE"/>
    <w:multiLevelType w:val="hybridMultilevel"/>
    <w:tmpl w:val="06121B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C54531"/>
    <w:multiLevelType w:val="hybridMultilevel"/>
    <w:tmpl w:val="3892C5AC"/>
    <w:lvl w:ilvl="0" w:tplc="CC264D44">
      <w:start w:val="1"/>
      <w:numFmt w:val="bullet"/>
      <w:lvlText w:val="•"/>
      <w:lvlJc w:val="left"/>
      <w:pPr>
        <w:tabs>
          <w:tab w:val="num" w:pos="720"/>
        </w:tabs>
        <w:ind w:left="720" w:hanging="360"/>
      </w:pPr>
      <w:rPr>
        <w:rFonts w:ascii="Arial" w:hAnsi="Arial" w:hint="default"/>
      </w:rPr>
    </w:lvl>
    <w:lvl w:ilvl="1" w:tplc="BB400F90">
      <w:start w:val="30628"/>
      <w:numFmt w:val="bullet"/>
      <w:lvlText w:val="–"/>
      <w:lvlJc w:val="left"/>
      <w:pPr>
        <w:tabs>
          <w:tab w:val="num" w:pos="1440"/>
        </w:tabs>
        <w:ind w:left="1440" w:hanging="360"/>
      </w:pPr>
      <w:rPr>
        <w:rFonts w:ascii="Arial" w:hAnsi="Arial" w:hint="default"/>
      </w:rPr>
    </w:lvl>
    <w:lvl w:ilvl="2" w:tplc="7452FE24" w:tentative="1">
      <w:start w:val="1"/>
      <w:numFmt w:val="bullet"/>
      <w:lvlText w:val="•"/>
      <w:lvlJc w:val="left"/>
      <w:pPr>
        <w:tabs>
          <w:tab w:val="num" w:pos="2160"/>
        </w:tabs>
        <w:ind w:left="2160" w:hanging="360"/>
      </w:pPr>
      <w:rPr>
        <w:rFonts w:ascii="Arial" w:hAnsi="Arial" w:hint="default"/>
      </w:rPr>
    </w:lvl>
    <w:lvl w:ilvl="3" w:tplc="6A4EB1B6" w:tentative="1">
      <w:start w:val="1"/>
      <w:numFmt w:val="bullet"/>
      <w:lvlText w:val="•"/>
      <w:lvlJc w:val="left"/>
      <w:pPr>
        <w:tabs>
          <w:tab w:val="num" w:pos="2880"/>
        </w:tabs>
        <w:ind w:left="2880" w:hanging="360"/>
      </w:pPr>
      <w:rPr>
        <w:rFonts w:ascii="Arial" w:hAnsi="Arial" w:hint="default"/>
      </w:rPr>
    </w:lvl>
    <w:lvl w:ilvl="4" w:tplc="3FBEBF1E" w:tentative="1">
      <w:start w:val="1"/>
      <w:numFmt w:val="bullet"/>
      <w:lvlText w:val="•"/>
      <w:lvlJc w:val="left"/>
      <w:pPr>
        <w:tabs>
          <w:tab w:val="num" w:pos="3600"/>
        </w:tabs>
        <w:ind w:left="3600" w:hanging="360"/>
      </w:pPr>
      <w:rPr>
        <w:rFonts w:ascii="Arial" w:hAnsi="Arial" w:hint="default"/>
      </w:rPr>
    </w:lvl>
    <w:lvl w:ilvl="5" w:tplc="5D1A0ED8" w:tentative="1">
      <w:start w:val="1"/>
      <w:numFmt w:val="bullet"/>
      <w:lvlText w:val="•"/>
      <w:lvlJc w:val="left"/>
      <w:pPr>
        <w:tabs>
          <w:tab w:val="num" w:pos="4320"/>
        </w:tabs>
        <w:ind w:left="4320" w:hanging="360"/>
      </w:pPr>
      <w:rPr>
        <w:rFonts w:ascii="Arial" w:hAnsi="Arial" w:hint="default"/>
      </w:rPr>
    </w:lvl>
    <w:lvl w:ilvl="6" w:tplc="C602F3C4" w:tentative="1">
      <w:start w:val="1"/>
      <w:numFmt w:val="bullet"/>
      <w:lvlText w:val="•"/>
      <w:lvlJc w:val="left"/>
      <w:pPr>
        <w:tabs>
          <w:tab w:val="num" w:pos="5040"/>
        </w:tabs>
        <w:ind w:left="5040" w:hanging="360"/>
      </w:pPr>
      <w:rPr>
        <w:rFonts w:ascii="Arial" w:hAnsi="Arial" w:hint="default"/>
      </w:rPr>
    </w:lvl>
    <w:lvl w:ilvl="7" w:tplc="69FA0B06" w:tentative="1">
      <w:start w:val="1"/>
      <w:numFmt w:val="bullet"/>
      <w:lvlText w:val="•"/>
      <w:lvlJc w:val="left"/>
      <w:pPr>
        <w:tabs>
          <w:tab w:val="num" w:pos="5760"/>
        </w:tabs>
        <w:ind w:left="5760" w:hanging="360"/>
      </w:pPr>
      <w:rPr>
        <w:rFonts w:ascii="Arial" w:hAnsi="Arial" w:hint="default"/>
      </w:rPr>
    </w:lvl>
    <w:lvl w:ilvl="8" w:tplc="55306F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DA64CF"/>
    <w:multiLevelType w:val="hybridMultilevel"/>
    <w:tmpl w:val="3BC09494"/>
    <w:lvl w:ilvl="0" w:tplc="786061C0">
      <w:start w:val="1"/>
      <w:numFmt w:val="bullet"/>
      <w:lvlText w:val="•"/>
      <w:lvlJc w:val="left"/>
      <w:pPr>
        <w:tabs>
          <w:tab w:val="num" w:pos="720"/>
        </w:tabs>
        <w:ind w:left="720" w:hanging="360"/>
      </w:pPr>
      <w:rPr>
        <w:rFonts w:ascii="Arial" w:hAnsi="Arial" w:hint="default"/>
      </w:rPr>
    </w:lvl>
    <w:lvl w:ilvl="1" w:tplc="697A03B8">
      <w:numFmt w:val="none"/>
      <w:lvlText w:val=""/>
      <w:lvlJc w:val="left"/>
      <w:pPr>
        <w:tabs>
          <w:tab w:val="num" w:pos="360"/>
        </w:tabs>
      </w:pPr>
    </w:lvl>
    <w:lvl w:ilvl="2" w:tplc="E7BE1C18">
      <w:numFmt w:val="none"/>
      <w:lvlText w:val=""/>
      <w:lvlJc w:val="left"/>
      <w:pPr>
        <w:tabs>
          <w:tab w:val="num" w:pos="360"/>
        </w:tabs>
      </w:pPr>
    </w:lvl>
    <w:lvl w:ilvl="3" w:tplc="0602D0E8" w:tentative="1">
      <w:start w:val="1"/>
      <w:numFmt w:val="bullet"/>
      <w:lvlText w:val="•"/>
      <w:lvlJc w:val="left"/>
      <w:pPr>
        <w:tabs>
          <w:tab w:val="num" w:pos="2880"/>
        </w:tabs>
        <w:ind w:left="2880" w:hanging="360"/>
      </w:pPr>
      <w:rPr>
        <w:rFonts w:ascii="Arial" w:hAnsi="Arial" w:hint="default"/>
      </w:rPr>
    </w:lvl>
    <w:lvl w:ilvl="4" w:tplc="FEAA8A52" w:tentative="1">
      <w:start w:val="1"/>
      <w:numFmt w:val="bullet"/>
      <w:lvlText w:val="•"/>
      <w:lvlJc w:val="left"/>
      <w:pPr>
        <w:tabs>
          <w:tab w:val="num" w:pos="3600"/>
        </w:tabs>
        <w:ind w:left="3600" w:hanging="360"/>
      </w:pPr>
      <w:rPr>
        <w:rFonts w:ascii="Arial" w:hAnsi="Arial" w:hint="default"/>
      </w:rPr>
    </w:lvl>
    <w:lvl w:ilvl="5" w:tplc="D3A63C5A" w:tentative="1">
      <w:start w:val="1"/>
      <w:numFmt w:val="bullet"/>
      <w:lvlText w:val="•"/>
      <w:lvlJc w:val="left"/>
      <w:pPr>
        <w:tabs>
          <w:tab w:val="num" w:pos="4320"/>
        </w:tabs>
        <w:ind w:left="4320" w:hanging="360"/>
      </w:pPr>
      <w:rPr>
        <w:rFonts w:ascii="Arial" w:hAnsi="Arial" w:hint="default"/>
      </w:rPr>
    </w:lvl>
    <w:lvl w:ilvl="6" w:tplc="B01EFF8C" w:tentative="1">
      <w:start w:val="1"/>
      <w:numFmt w:val="bullet"/>
      <w:lvlText w:val="•"/>
      <w:lvlJc w:val="left"/>
      <w:pPr>
        <w:tabs>
          <w:tab w:val="num" w:pos="5040"/>
        </w:tabs>
        <w:ind w:left="5040" w:hanging="360"/>
      </w:pPr>
      <w:rPr>
        <w:rFonts w:ascii="Arial" w:hAnsi="Arial" w:hint="default"/>
      </w:rPr>
    </w:lvl>
    <w:lvl w:ilvl="7" w:tplc="6338EFC2" w:tentative="1">
      <w:start w:val="1"/>
      <w:numFmt w:val="bullet"/>
      <w:lvlText w:val="•"/>
      <w:lvlJc w:val="left"/>
      <w:pPr>
        <w:tabs>
          <w:tab w:val="num" w:pos="5760"/>
        </w:tabs>
        <w:ind w:left="5760" w:hanging="360"/>
      </w:pPr>
      <w:rPr>
        <w:rFonts w:ascii="Arial" w:hAnsi="Arial" w:hint="default"/>
      </w:rPr>
    </w:lvl>
    <w:lvl w:ilvl="8" w:tplc="74FA28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A5EB2"/>
    <w:multiLevelType w:val="hybridMultilevel"/>
    <w:tmpl w:val="0F1CF640"/>
    <w:lvl w:ilvl="0" w:tplc="B3A09BC0">
      <w:start w:val="1"/>
      <w:numFmt w:val="bullet"/>
      <w:lvlText w:val="•"/>
      <w:lvlJc w:val="left"/>
      <w:pPr>
        <w:tabs>
          <w:tab w:val="num" w:pos="720"/>
        </w:tabs>
        <w:ind w:left="720" w:hanging="360"/>
      </w:pPr>
      <w:rPr>
        <w:rFonts w:ascii="Arial" w:hAnsi="Arial" w:hint="default"/>
      </w:rPr>
    </w:lvl>
    <w:lvl w:ilvl="1" w:tplc="C2F22FD0">
      <w:numFmt w:val="none"/>
      <w:lvlText w:val=""/>
      <w:lvlJc w:val="left"/>
      <w:pPr>
        <w:tabs>
          <w:tab w:val="num" w:pos="360"/>
        </w:tabs>
      </w:pPr>
    </w:lvl>
    <w:lvl w:ilvl="2" w:tplc="CC52DED8" w:tentative="1">
      <w:start w:val="1"/>
      <w:numFmt w:val="bullet"/>
      <w:lvlText w:val="•"/>
      <w:lvlJc w:val="left"/>
      <w:pPr>
        <w:tabs>
          <w:tab w:val="num" w:pos="2160"/>
        </w:tabs>
        <w:ind w:left="2160" w:hanging="360"/>
      </w:pPr>
      <w:rPr>
        <w:rFonts w:ascii="Arial" w:hAnsi="Arial" w:hint="default"/>
      </w:rPr>
    </w:lvl>
    <w:lvl w:ilvl="3" w:tplc="8C3662FA" w:tentative="1">
      <w:start w:val="1"/>
      <w:numFmt w:val="bullet"/>
      <w:lvlText w:val="•"/>
      <w:lvlJc w:val="left"/>
      <w:pPr>
        <w:tabs>
          <w:tab w:val="num" w:pos="2880"/>
        </w:tabs>
        <w:ind w:left="2880" w:hanging="360"/>
      </w:pPr>
      <w:rPr>
        <w:rFonts w:ascii="Arial" w:hAnsi="Arial" w:hint="default"/>
      </w:rPr>
    </w:lvl>
    <w:lvl w:ilvl="4" w:tplc="975E990E" w:tentative="1">
      <w:start w:val="1"/>
      <w:numFmt w:val="bullet"/>
      <w:lvlText w:val="•"/>
      <w:lvlJc w:val="left"/>
      <w:pPr>
        <w:tabs>
          <w:tab w:val="num" w:pos="3600"/>
        </w:tabs>
        <w:ind w:left="3600" w:hanging="360"/>
      </w:pPr>
      <w:rPr>
        <w:rFonts w:ascii="Arial" w:hAnsi="Arial" w:hint="default"/>
      </w:rPr>
    </w:lvl>
    <w:lvl w:ilvl="5" w:tplc="1286E7B4" w:tentative="1">
      <w:start w:val="1"/>
      <w:numFmt w:val="bullet"/>
      <w:lvlText w:val="•"/>
      <w:lvlJc w:val="left"/>
      <w:pPr>
        <w:tabs>
          <w:tab w:val="num" w:pos="4320"/>
        </w:tabs>
        <w:ind w:left="4320" w:hanging="360"/>
      </w:pPr>
      <w:rPr>
        <w:rFonts w:ascii="Arial" w:hAnsi="Arial" w:hint="default"/>
      </w:rPr>
    </w:lvl>
    <w:lvl w:ilvl="6" w:tplc="755010EC" w:tentative="1">
      <w:start w:val="1"/>
      <w:numFmt w:val="bullet"/>
      <w:lvlText w:val="•"/>
      <w:lvlJc w:val="left"/>
      <w:pPr>
        <w:tabs>
          <w:tab w:val="num" w:pos="5040"/>
        </w:tabs>
        <w:ind w:left="5040" w:hanging="360"/>
      </w:pPr>
      <w:rPr>
        <w:rFonts w:ascii="Arial" w:hAnsi="Arial" w:hint="default"/>
      </w:rPr>
    </w:lvl>
    <w:lvl w:ilvl="7" w:tplc="86D62294" w:tentative="1">
      <w:start w:val="1"/>
      <w:numFmt w:val="bullet"/>
      <w:lvlText w:val="•"/>
      <w:lvlJc w:val="left"/>
      <w:pPr>
        <w:tabs>
          <w:tab w:val="num" w:pos="5760"/>
        </w:tabs>
        <w:ind w:left="5760" w:hanging="360"/>
      </w:pPr>
      <w:rPr>
        <w:rFonts w:ascii="Arial" w:hAnsi="Arial" w:hint="default"/>
      </w:rPr>
    </w:lvl>
    <w:lvl w:ilvl="8" w:tplc="D2C446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B2C75"/>
    <w:multiLevelType w:val="hybridMultilevel"/>
    <w:tmpl w:val="A36AC1D0"/>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2EEEDD3C">
      <w:start w:val="1"/>
      <w:numFmt w:val="bullet"/>
      <w:lvlText w:val="•"/>
      <w:lvlJc w:val="left"/>
      <w:pPr>
        <w:tabs>
          <w:tab w:val="num" w:pos="2160"/>
        </w:tabs>
        <w:ind w:left="2160" w:hanging="360"/>
      </w:pPr>
      <w:rPr>
        <w:rFonts w:ascii="Arial" w:hAnsi="Arial" w:hint="default"/>
      </w:rPr>
    </w:lvl>
    <w:lvl w:ilvl="3" w:tplc="F9EC9E2C">
      <w:start w:val="1"/>
      <w:numFmt w:val="bullet"/>
      <w:lvlText w:val="•"/>
      <w:lvlJc w:val="left"/>
      <w:pPr>
        <w:tabs>
          <w:tab w:val="num" w:pos="2880"/>
        </w:tabs>
        <w:ind w:left="2880" w:hanging="360"/>
      </w:pPr>
      <w:rPr>
        <w:rFonts w:ascii="Arial" w:hAnsi="Arial" w:hint="default"/>
      </w:rPr>
    </w:lvl>
    <w:lvl w:ilvl="4" w:tplc="95F8CEBA">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458E1685"/>
    <w:multiLevelType w:val="hybridMultilevel"/>
    <w:tmpl w:val="3702A974"/>
    <w:lvl w:ilvl="0" w:tplc="36D2A184">
      <w:start w:val="1"/>
      <w:numFmt w:val="bullet"/>
      <w:lvlText w:val="•"/>
      <w:lvlJc w:val="left"/>
      <w:pPr>
        <w:tabs>
          <w:tab w:val="num" w:pos="720"/>
        </w:tabs>
        <w:ind w:left="720" w:hanging="360"/>
      </w:pPr>
      <w:rPr>
        <w:rFonts w:ascii="Arial" w:hAnsi="Arial" w:hint="default"/>
      </w:rPr>
    </w:lvl>
    <w:lvl w:ilvl="1" w:tplc="ED28A21A">
      <w:start w:val="17991"/>
      <w:numFmt w:val="bullet"/>
      <w:lvlText w:val="–"/>
      <w:lvlJc w:val="left"/>
      <w:pPr>
        <w:tabs>
          <w:tab w:val="num" w:pos="1440"/>
        </w:tabs>
        <w:ind w:left="1440" w:hanging="360"/>
      </w:pPr>
      <w:rPr>
        <w:rFonts w:ascii="Arial" w:hAnsi="Arial" w:hint="default"/>
      </w:rPr>
    </w:lvl>
    <w:lvl w:ilvl="2" w:tplc="296A0FA4" w:tentative="1">
      <w:start w:val="1"/>
      <w:numFmt w:val="bullet"/>
      <w:lvlText w:val="•"/>
      <w:lvlJc w:val="left"/>
      <w:pPr>
        <w:tabs>
          <w:tab w:val="num" w:pos="2160"/>
        </w:tabs>
        <w:ind w:left="2160" w:hanging="360"/>
      </w:pPr>
      <w:rPr>
        <w:rFonts w:ascii="Arial" w:hAnsi="Arial" w:hint="default"/>
      </w:rPr>
    </w:lvl>
    <w:lvl w:ilvl="3" w:tplc="4262F3D2" w:tentative="1">
      <w:start w:val="1"/>
      <w:numFmt w:val="bullet"/>
      <w:lvlText w:val="•"/>
      <w:lvlJc w:val="left"/>
      <w:pPr>
        <w:tabs>
          <w:tab w:val="num" w:pos="2880"/>
        </w:tabs>
        <w:ind w:left="2880" w:hanging="360"/>
      </w:pPr>
      <w:rPr>
        <w:rFonts w:ascii="Arial" w:hAnsi="Arial" w:hint="default"/>
      </w:rPr>
    </w:lvl>
    <w:lvl w:ilvl="4" w:tplc="768C79EE" w:tentative="1">
      <w:start w:val="1"/>
      <w:numFmt w:val="bullet"/>
      <w:lvlText w:val="•"/>
      <w:lvlJc w:val="left"/>
      <w:pPr>
        <w:tabs>
          <w:tab w:val="num" w:pos="3600"/>
        </w:tabs>
        <w:ind w:left="3600" w:hanging="360"/>
      </w:pPr>
      <w:rPr>
        <w:rFonts w:ascii="Arial" w:hAnsi="Arial" w:hint="default"/>
      </w:rPr>
    </w:lvl>
    <w:lvl w:ilvl="5" w:tplc="3976D664" w:tentative="1">
      <w:start w:val="1"/>
      <w:numFmt w:val="bullet"/>
      <w:lvlText w:val="•"/>
      <w:lvlJc w:val="left"/>
      <w:pPr>
        <w:tabs>
          <w:tab w:val="num" w:pos="4320"/>
        </w:tabs>
        <w:ind w:left="4320" w:hanging="360"/>
      </w:pPr>
      <w:rPr>
        <w:rFonts w:ascii="Arial" w:hAnsi="Arial" w:hint="default"/>
      </w:rPr>
    </w:lvl>
    <w:lvl w:ilvl="6" w:tplc="5630F068" w:tentative="1">
      <w:start w:val="1"/>
      <w:numFmt w:val="bullet"/>
      <w:lvlText w:val="•"/>
      <w:lvlJc w:val="left"/>
      <w:pPr>
        <w:tabs>
          <w:tab w:val="num" w:pos="5040"/>
        </w:tabs>
        <w:ind w:left="5040" w:hanging="360"/>
      </w:pPr>
      <w:rPr>
        <w:rFonts w:ascii="Arial" w:hAnsi="Arial" w:hint="default"/>
      </w:rPr>
    </w:lvl>
    <w:lvl w:ilvl="7" w:tplc="45EE29DE" w:tentative="1">
      <w:start w:val="1"/>
      <w:numFmt w:val="bullet"/>
      <w:lvlText w:val="•"/>
      <w:lvlJc w:val="left"/>
      <w:pPr>
        <w:tabs>
          <w:tab w:val="num" w:pos="5760"/>
        </w:tabs>
        <w:ind w:left="5760" w:hanging="360"/>
      </w:pPr>
      <w:rPr>
        <w:rFonts w:ascii="Arial" w:hAnsi="Arial" w:hint="default"/>
      </w:rPr>
    </w:lvl>
    <w:lvl w:ilvl="8" w:tplc="AB8EF5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F529FC"/>
    <w:multiLevelType w:val="hybridMultilevel"/>
    <w:tmpl w:val="B8F4006E"/>
    <w:lvl w:ilvl="0" w:tplc="BF92D73A">
      <w:start w:val="1"/>
      <w:numFmt w:val="bullet"/>
      <w:lvlText w:val="•"/>
      <w:lvlJc w:val="left"/>
      <w:pPr>
        <w:tabs>
          <w:tab w:val="num" w:pos="720"/>
        </w:tabs>
        <w:ind w:left="720" w:hanging="360"/>
      </w:pPr>
      <w:rPr>
        <w:rFonts w:ascii="Arial" w:hAnsi="Arial" w:hint="default"/>
      </w:rPr>
    </w:lvl>
    <w:lvl w:ilvl="1" w:tplc="8096844C">
      <w:start w:val="17991"/>
      <w:numFmt w:val="bullet"/>
      <w:lvlText w:val="–"/>
      <w:lvlJc w:val="left"/>
      <w:pPr>
        <w:tabs>
          <w:tab w:val="num" w:pos="1440"/>
        </w:tabs>
        <w:ind w:left="1440" w:hanging="360"/>
      </w:pPr>
      <w:rPr>
        <w:rFonts w:ascii="Arial" w:hAnsi="Arial" w:hint="default"/>
      </w:rPr>
    </w:lvl>
    <w:lvl w:ilvl="2" w:tplc="B600BEF0">
      <w:start w:val="17991"/>
      <w:numFmt w:val="bullet"/>
      <w:lvlText w:val="•"/>
      <w:lvlJc w:val="left"/>
      <w:pPr>
        <w:tabs>
          <w:tab w:val="num" w:pos="2160"/>
        </w:tabs>
        <w:ind w:left="2160" w:hanging="360"/>
      </w:pPr>
      <w:rPr>
        <w:rFonts w:ascii="Arial" w:hAnsi="Arial" w:hint="default"/>
      </w:rPr>
    </w:lvl>
    <w:lvl w:ilvl="3" w:tplc="768A0486" w:tentative="1">
      <w:start w:val="1"/>
      <w:numFmt w:val="bullet"/>
      <w:lvlText w:val="•"/>
      <w:lvlJc w:val="left"/>
      <w:pPr>
        <w:tabs>
          <w:tab w:val="num" w:pos="2880"/>
        </w:tabs>
        <w:ind w:left="2880" w:hanging="360"/>
      </w:pPr>
      <w:rPr>
        <w:rFonts w:ascii="Arial" w:hAnsi="Arial" w:hint="default"/>
      </w:rPr>
    </w:lvl>
    <w:lvl w:ilvl="4" w:tplc="C8ACE37E" w:tentative="1">
      <w:start w:val="1"/>
      <w:numFmt w:val="bullet"/>
      <w:lvlText w:val="•"/>
      <w:lvlJc w:val="left"/>
      <w:pPr>
        <w:tabs>
          <w:tab w:val="num" w:pos="3600"/>
        </w:tabs>
        <w:ind w:left="3600" w:hanging="360"/>
      </w:pPr>
      <w:rPr>
        <w:rFonts w:ascii="Arial" w:hAnsi="Arial" w:hint="default"/>
      </w:rPr>
    </w:lvl>
    <w:lvl w:ilvl="5" w:tplc="EBE6648E" w:tentative="1">
      <w:start w:val="1"/>
      <w:numFmt w:val="bullet"/>
      <w:lvlText w:val="•"/>
      <w:lvlJc w:val="left"/>
      <w:pPr>
        <w:tabs>
          <w:tab w:val="num" w:pos="4320"/>
        </w:tabs>
        <w:ind w:left="4320" w:hanging="360"/>
      </w:pPr>
      <w:rPr>
        <w:rFonts w:ascii="Arial" w:hAnsi="Arial" w:hint="default"/>
      </w:rPr>
    </w:lvl>
    <w:lvl w:ilvl="6" w:tplc="0820FA3C" w:tentative="1">
      <w:start w:val="1"/>
      <w:numFmt w:val="bullet"/>
      <w:lvlText w:val="•"/>
      <w:lvlJc w:val="left"/>
      <w:pPr>
        <w:tabs>
          <w:tab w:val="num" w:pos="5040"/>
        </w:tabs>
        <w:ind w:left="5040" w:hanging="360"/>
      </w:pPr>
      <w:rPr>
        <w:rFonts w:ascii="Arial" w:hAnsi="Arial" w:hint="default"/>
      </w:rPr>
    </w:lvl>
    <w:lvl w:ilvl="7" w:tplc="5314A70C" w:tentative="1">
      <w:start w:val="1"/>
      <w:numFmt w:val="bullet"/>
      <w:lvlText w:val="•"/>
      <w:lvlJc w:val="left"/>
      <w:pPr>
        <w:tabs>
          <w:tab w:val="num" w:pos="5760"/>
        </w:tabs>
        <w:ind w:left="5760" w:hanging="360"/>
      </w:pPr>
      <w:rPr>
        <w:rFonts w:ascii="Arial" w:hAnsi="Arial" w:hint="default"/>
      </w:rPr>
    </w:lvl>
    <w:lvl w:ilvl="8" w:tplc="FFF4ED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A325EB"/>
    <w:multiLevelType w:val="hybridMultilevel"/>
    <w:tmpl w:val="E864025A"/>
    <w:lvl w:ilvl="0" w:tplc="9546316A">
      <w:start w:val="1"/>
      <w:numFmt w:val="bullet"/>
      <w:lvlText w:val="–"/>
      <w:lvlJc w:val="left"/>
      <w:pPr>
        <w:tabs>
          <w:tab w:val="num" w:pos="720"/>
        </w:tabs>
        <w:ind w:left="720" w:hanging="360"/>
      </w:pPr>
      <w:rPr>
        <w:rFonts w:ascii="Arial" w:hAnsi="Arial" w:hint="default"/>
      </w:rPr>
    </w:lvl>
    <w:lvl w:ilvl="1" w:tplc="16D65E28">
      <w:start w:val="1"/>
      <w:numFmt w:val="bullet"/>
      <w:lvlText w:val="–"/>
      <w:lvlJc w:val="left"/>
      <w:pPr>
        <w:tabs>
          <w:tab w:val="num" w:pos="1440"/>
        </w:tabs>
        <w:ind w:left="1440" w:hanging="360"/>
      </w:pPr>
      <w:rPr>
        <w:rFonts w:ascii="Arial" w:hAnsi="Arial" w:hint="default"/>
      </w:rPr>
    </w:lvl>
    <w:lvl w:ilvl="2" w:tplc="8FE6098A" w:tentative="1">
      <w:start w:val="1"/>
      <w:numFmt w:val="bullet"/>
      <w:lvlText w:val="–"/>
      <w:lvlJc w:val="left"/>
      <w:pPr>
        <w:tabs>
          <w:tab w:val="num" w:pos="2160"/>
        </w:tabs>
        <w:ind w:left="2160" w:hanging="360"/>
      </w:pPr>
      <w:rPr>
        <w:rFonts w:ascii="Arial" w:hAnsi="Arial" w:hint="default"/>
      </w:rPr>
    </w:lvl>
    <w:lvl w:ilvl="3" w:tplc="3FAAC282" w:tentative="1">
      <w:start w:val="1"/>
      <w:numFmt w:val="bullet"/>
      <w:lvlText w:val="–"/>
      <w:lvlJc w:val="left"/>
      <w:pPr>
        <w:tabs>
          <w:tab w:val="num" w:pos="2880"/>
        </w:tabs>
        <w:ind w:left="2880" w:hanging="360"/>
      </w:pPr>
      <w:rPr>
        <w:rFonts w:ascii="Arial" w:hAnsi="Arial" w:hint="default"/>
      </w:rPr>
    </w:lvl>
    <w:lvl w:ilvl="4" w:tplc="6B424BE0" w:tentative="1">
      <w:start w:val="1"/>
      <w:numFmt w:val="bullet"/>
      <w:lvlText w:val="–"/>
      <w:lvlJc w:val="left"/>
      <w:pPr>
        <w:tabs>
          <w:tab w:val="num" w:pos="3600"/>
        </w:tabs>
        <w:ind w:left="3600" w:hanging="360"/>
      </w:pPr>
      <w:rPr>
        <w:rFonts w:ascii="Arial" w:hAnsi="Arial" w:hint="default"/>
      </w:rPr>
    </w:lvl>
    <w:lvl w:ilvl="5" w:tplc="1DEC4232" w:tentative="1">
      <w:start w:val="1"/>
      <w:numFmt w:val="bullet"/>
      <w:lvlText w:val="–"/>
      <w:lvlJc w:val="left"/>
      <w:pPr>
        <w:tabs>
          <w:tab w:val="num" w:pos="4320"/>
        </w:tabs>
        <w:ind w:left="4320" w:hanging="360"/>
      </w:pPr>
      <w:rPr>
        <w:rFonts w:ascii="Arial" w:hAnsi="Arial" w:hint="default"/>
      </w:rPr>
    </w:lvl>
    <w:lvl w:ilvl="6" w:tplc="09369AF4" w:tentative="1">
      <w:start w:val="1"/>
      <w:numFmt w:val="bullet"/>
      <w:lvlText w:val="–"/>
      <w:lvlJc w:val="left"/>
      <w:pPr>
        <w:tabs>
          <w:tab w:val="num" w:pos="5040"/>
        </w:tabs>
        <w:ind w:left="5040" w:hanging="360"/>
      </w:pPr>
      <w:rPr>
        <w:rFonts w:ascii="Arial" w:hAnsi="Arial" w:hint="default"/>
      </w:rPr>
    </w:lvl>
    <w:lvl w:ilvl="7" w:tplc="04C68BFE" w:tentative="1">
      <w:start w:val="1"/>
      <w:numFmt w:val="bullet"/>
      <w:lvlText w:val="–"/>
      <w:lvlJc w:val="left"/>
      <w:pPr>
        <w:tabs>
          <w:tab w:val="num" w:pos="5760"/>
        </w:tabs>
        <w:ind w:left="5760" w:hanging="360"/>
      </w:pPr>
      <w:rPr>
        <w:rFonts w:ascii="Arial" w:hAnsi="Arial" w:hint="default"/>
      </w:rPr>
    </w:lvl>
    <w:lvl w:ilvl="8" w:tplc="F6469C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3970369"/>
    <w:multiLevelType w:val="hybridMultilevel"/>
    <w:tmpl w:val="1116C858"/>
    <w:lvl w:ilvl="0" w:tplc="6C92920E">
      <w:start w:val="1"/>
      <w:numFmt w:val="bullet"/>
      <w:lvlText w:val="•"/>
      <w:lvlJc w:val="left"/>
      <w:pPr>
        <w:tabs>
          <w:tab w:val="num" w:pos="720"/>
        </w:tabs>
        <w:ind w:left="720" w:hanging="360"/>
      </w:pPr>
      <w:rPr>
        <w:rFonts w:ascii="Arial" w:hAnsi="Arial" w:hint="default"/>
      </w:rPr>
    </w:lvl>
    <w:lvl w:ilvl="1" w:tplc="A0C65384">
      <w:numFmt w:val="none"/>
      <w:lvlText w:val=""/>
      <w:lvlJc w:val="left"/>
      <w:pPr>
        <w:tabs>
          <w:tab w:val="num" w:pos="360"/>
        </w:tabs>
      </w:pPr>
    </w:lvl>
    <w:lvl w:ilvl="2" w:tplc="53D4563E">
      <w:numFmt w:val="none"/>
      <w:lvlText w:val=""/>
      <w:lvlJc w:val="left"/>
      <w:pPr>
        <w:tabs>
          <w:tab w:val="num" w:pos="360"/>
        </w:tabs>
      </w:pPr>
    </w:lvl>
    <w:lvl w:ilvl="3" w:tplc="FA8EBCEA" w:tentative="1">
      <w:start w:val="1"/>
      <w:numFmt w:val="bullet"/>
      <w:lvlText w:val="•"/>
      <w:lvlJc w:val="left"/>
      <w:pPr>
        <w:tabs>
          <w:tab w:val="num" w:pos="2880"/>
        </w:tabs>
        <w:ind w:left="2880" w:hanging="360"/>
      </w:pPr>
      <w:rPr>
        <w:rFonts w:ascii="Arial" w:hAnsi="Arial" w:hint="default"/>
      </w:rPr>
    </w:lvl>
    <w:lvl w:ilvl="4" w:tplc="1346B492" w:tentative="1">
      <w:start w:val="1"/>
      <w:numFmt w:val="bullet"/>
      <w:lvlText w:val="•"/>
      <w:lvlJc w:val="left"/>
      <w:pPr>
        <w:tabs>
          <w:tab w:val="num" w:pos="3600"/>
        </w:tabs>
        <w:ind w:left="3600" w:hanging="360"/>
      </w:pPr>
      <w:rPr>
        <w:rFonts w:ascii="Arial" w:hAnsi="Arial" w:hint="default"/>
      </w:rPr>
    </w:lvl>
    <w:lvl w:ilvl="5" w:tplc="E0B2B2D6" w:tentative="1">
      <w:start w:val="1"/>
      <w:numFmt w:val="bullet"/>
      <w:lvlText w:val="•"/>
      <w:lvlJc w:val="left"/>
      <w:pPr>
        <w:tabs>
          <w:tab w:val="num" w:pos="4320"/>
        </w:tabs>
        <w:ind w:left="4320" w:hanging="360"/>
      </w:pPr>
      <w:rPr>
        <w:rFonts w:ascii="Arial" w:hAnsi="Arial" w:hint="default"/>
      </w:rPr>
    </w:lvl>
    <w:lvl w:ilvl="6" w:tplc="354026D8" w:tentative="1">
      <w:start w:val="1"/>
      <w:numFmt w:val="bullet"/>
      <w:lvlText w:val="•"/>
      <w:lvlJc w:val="left"/>
      <w:pPr>
        <w:tabs>
          <w:tab w:val="num" w:pos="5040"/>
        </w:tabs>
        <w:ind w:left="5040" w:hanging="360"/>
      </w:pPr>
      <w:rPr>
        <w:rFonts w:ascii="Arial" w:hAnsi="Arial" w:hint="default"/>
      </w:rPr>
    </w:lvl>
    <w:lvl w:ilvl="7" w:tplc="964A441E" w:tentative="1">
      <w:start w:val="1"/>
      <w:numFmt w:val="bullet"/>
      <w:lvlText w:val="•"/>
      <w:lvlJc w:val="left"/>
      <w:pPr>
        <w:tabs>
          <w:tab w:val="num" w:pos="5760"/>
        </w:tabs>
        <w:ind w:left="5760" w:hanging="360"/>
      </w:pPr>
      <w:rPr>
        <w:rFonts w:ascii="Arial" w:hAnsi="Arial" w:hint="default"/>
      </w:rPr>
    </w:lvl>
    <w:lvl w:ilvl="8" w:tplc="B9766F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3C6E9A"/>
    <w:multiLevelType w:val="hybridMultilevel"/>
    <w:tmpl w:val="18F84EA2"/>
    <w:lvl w:ilvl="0" w:tplc="F3A6D1C6">
      <w:start w:val="1"/>
      <w:numFmt w:val="bullet"/>
      <w:lvlText w:val="•"/>
      <w:lvlJc w:val="left"/>
      <w:pPr>
        <w:tabs>
          <w:tab w:val="num" w:pos="720"/>
        </w:tabs>
        <w:ind w:left="720" w:hanging="360"/>
      </w:pPr>
      <w:rPr>
        <w:rFonts w:ascii="Arial" w:hAnsi="Arial" w:hint="default"/>
      </w:rPr>
    </w:lvl>
    <w:lvl w:ilvl="1" w:tplc="2B72341A">
      <w:numFmt w:val="none"/>
      <w:lvlText w:val=""/>
      <w:lvlJc w:val="left"/>
      <w:pPr>
        <w:tabs>
          <w:tab w:val="num" w:pos="360"/>
        </w:tabs>
      </w:pPr>
    </w:lvl>
    <w:lvl w:ilvl="2" w:tplc="587296FC">
      <w:numFmt w:val="none"/>
      <w:lvlText w:val=""/>
      <w:lvlJc w:val="left"/>
      <w:pPr>
        <w:tabs>
          <w:tab w:val="num" w:pos="360"/>
        </w:tabs>
      </w:pPr>
    </w:lvl>
    <w:lvl w:ilvl="3" w:tplc="E1DAEFFA" w:tentative="1">
      <w:start w:val="1"/>
      <w:numFmt w:val="bullet"/>
      <w:lvlText w:val="•"/>
      <w:lvlJc w:val="left"/>
      <w:pPr>
        <w:tabs>
          <w:tab w:val="num" w:pos="2880"/>
        </w:tabs>
        <w:ind w:left="2880" w:hanging="360"/>
      </w:pPr>
      <w:rPr>
        <w:rFonts w:ascii="Arial" w:hAnsi="Arial" w:hint="default"/>
      </w:rPr>
    </w:lvl>
    <w:lvl w:ilvl="4" w:tplc="D3ECB31A" w:tentative="1">
      <w:start w:val="1"/>
      <w:numFmt w:val="bullet"/>
      <w:lvlText w:val="•"/>
      <w:lvlJc w:val="left"/>
      <w:pPr>
        <w:tabs>
          <w:tab w:val="num" w:pos="3600"/>
        </w:tabs>
        <w:ind w:left="3600" w:hanging="360"/>
      </w:pPr>
      <w:rPr>
        <w:rFonts w:ascii="Arial" w:hAnsi="Arial" w:hint="default"/>
      </w:rPr>
    </w:lvl>
    <w:lvl w:ilvl="5" w:tplc="6FB887B8" w:tentative="1">
      <w:start w:val="1"/>
      <w:numFmt w:val="bullet"/>
      <w:lvlText w:val="•"/>
      <w:lvlJc w:val="left"/>
      <w:pPr>
        <w:tabs>
          <w:tab w:val="num" w:pos="4320"/>
        </w:tabs>
        <w:ind w:left="4320" w:hanging="360"/>
      </w:pPr>
      <w:rPr>
        <w:rFonts w:ascii="Arial" w:hAnsi="Arial" w:hint="default"/>
      </w:rPr>
    </w:lvl>
    <w:lvl w:ilvl="6" w:tplc="1B6C3FCE" w:tentative="1">
      <w:start w:val="1"/>
      <w:numFmt w:val="bullet"/>
      <w:lvlText w:val="•"/>
      <w:lvlJc w:val="left"/>
      <w:pPr>
        <w:tabs>
          <w:tab w:val="num" w:pos="5040"/>
        </w:tabs>
        <w:ind w:left="5040" w:hanging="360"/>
      </w:pPr>
      <w:rPr>
        <w:rFonts w:ascii="Arial" w:hAnsi="Arial" w:hint="default"/>
      </w:rPr>
    </w:lvl>
    <w:lvl w:ilvl="7" w:tplc="4C387FC4" w:tentative="1">
      <w:start w:val="1"/>
      <w:numFmt w:val="bullet"/>
      <w:lvlText w:val="•"/>
      <w:lvlJc w:val="left"/>
      <w:pPr>
        <w:tabs>
          <w:tab w:val="num" w:pos="5760"/>
        </w:tabs>
        <w:ind w:left="5760" w:hanging="360"/>
      </w:pPr>
      <w:rPr>
        <w:rFonts w:ascii="Arial" w:hAnsi="Arial" w:hint="default"/>
      </w:rPr>
    </w:lvl>
    <w:lvl w:ilvl="8" w:tplc="E29279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6" w15:restartNumberingAfterBreak="0">
    <w:nsid w:val="63994309"/>
    <w:multiLevelType w:val="hybridMultilevel"/>
    <w:tmpl w:val="0A9EC526"/>
    <w:lvl w:ilvl="0" w:tplc="B4C8EF5A">
      <w:start w:val="1"/>
      <w:numFmt w:val="bullet"/>
      <w:lvlText w:val="•"/>
      <w:lvlJc w:val="left"/>
      <w:pPr>
        <w:tabs>
          <w:tab w:val="num" w:pos="720"/>
        </w:tabs>
        <w:ind w:left="720" w:hanging="360"/>
      </w:pPr>
      <w:rPr>
        <w:rFonts w:ascii="Arial" w:hAnsi="Arial" w:hint="default"/>
      </w:rPr>
    </w:lvl>
    <w:lvl w:ilvl="1" w:tplc="E5D24584">
      <w:start w:val="17991"/>
      <w:numFmt w:val="bullet"/>
      <w:lvlText w:val="–"/>
      <w:lvlJc w:val="left"/>
      <w:pPr>
        <w:tabs>
          <w:tab w:val="num" w:pos="1440"/>
        </w:tabs>
        <w:ind w:left="1440" w:hanging="360"/>
      </w:pPr>
      <w:rPr>
        <w:rFonts w:ascii="Arial" w:hAnsi="Arial" w:hint="default"/>
      </w:rPr>
    </w:lvl>
    <w:lvl w:ilvl="2" w:tplc="3DA65A94">
      <w:start w:val="17991"/>
      <w:numFmt w:val="bullet"/>
      <w:lvlText w:val="•"/>
      <w:lvlJc w:val="left"/>
      <w:pPr>
        <w:tabs>
          <w:tab w:val="num" w:pos="2160"/>
        </w:tabs>
        <w:ind w:left="2160" w:hanging="360"/>
      </w:pPr>
      <w:rPr>
        <w:rFonts w:ascii="Arial" w:hAnsi="Arial" w:hint="default"/>
      </w:rPr>
    </w:lvl>
    <w:lvl w:ilvl="3" w:tplc="48ECE824" w:tentative="1">
      <w:start w:val="1"/>
      <w:numFmt w:val="bullet"/>
      <w:lvlText w:val="•"/>
      <w:lvlJc w:val="left"/>
      <w:pPr>
        <w:tabs>
          <w:tab w:val="num" w:pos="2880"/>
        </w:tabs>
        <w:ind w:left="2880" w:hanging="360"/>
      </w:pPr>
      <w:rPr>
        <w:rFonts w:ascii="Arial" w:hAnsi="Arial" w:hint="default"/>
      </w:rPr>
    </w:lvl>
    <w:lvl w:ilvl="4" w:tplc="553C527A" w:tentative="1">
      <w:start w:val="1"/>
      <w:numFmt w:val="bullet"/>
      <w:lvlText w:val="•"/>
      <w:lvlJc w:val="left"/>
      <w:pPr>
        <w:tabs>
          <w:tab w:val="num" w:pos="3600"/>
        </w:tabs>
        <w:ind w:left="3600" w:hanging="360"/>
      </w:pPr>
      <w:rPr>
        <w:rFonts w:ascii="Arial" w:hAnsi="Arial" w:hint="default"/>
      </w:rPr>
    </w:lvl>
    <w:lvl w:ilvl="5" w:tplc="68D07D36" w:tentative="1">
      <w:start w:val="1"/>
      <w:numFmt w:val="bullet"/>
      <w:lvlText w:val="•"/>
      <w:lvlJc w:val="left"/>
      <w:pPr>
        <w:tabs>
          <w:tab w:val="num" w:pos="4320"/>
        </w:tabs>
        <w:ind w:left="4320" w:hanging="360"/>
      </w:pPr>
      <w:rPr>
        <w:rFonts w:ascii="Arial" w:hAnsi="Arial" w:hint="default"/>
      </w:rPr>
    </w:lvl>
    <w:lvl w:ilvl="6" w:tplc="FA5C4838" w:tentative="1">
      <w:start w:val="1"/>
      <w:numFmt w:val="bullet"/>
      <w:lvlText w:val="•"/>
      <w:lvlJc w:val="left"/>
      <w:pPr>
        <w:tabs>
          <w:tab w:val="num" w:pos="5040"/>
        </w:tabs>
        <w:ind w:left="5040" w:hanging="360"/>
      </w:pPr>
      <w:rPr>
        <w:rFonts w:ascii="Arial" w:hAnsi="Arial" w:hint="default"/>
      </w:rPr>
    </w:lvl>
    <w:lvl w:ilvl="7" w:tplc="1AB034A0" w:tentative="1">
      <w:start w:val="1"/>
      <w:numFmt w:val="bullet"/>
      <w:lvlText w:val="•"/>
      <w:lvlJc w:val="left"/>
      <w:pPr>
        <w:tabs>
          <w:tab w:val="num" w:pos="5760"/>
        </w:tabs>
        <w:ind w:left="5760" w:hanging="360"/>
      </w:pPr>
      <w:rPr>
        <w:rFonts w:ascii="Arial" w:hAnsi="Arial" w:hint="default"/>
      </w:rPr>
    </w:lvl>
    <w:lvl w:ilvl="8" w:tplc="606200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9"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0" w15:restartNumberingAfterBreak="0">
    <w:nsid w:val="6B4746D3"/>
    <w:multiLevelType w:val="hybridMultilevel"/>
    <w:tmpl w:val="AD9EF25E"/>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2EEEDD3C">
      <w:start w:val="1"/>
      <w:numFmt w:val="bullet"/>
      <w:lvlText w:val="•"/>
      <w:lvlJc w:val="left"/>
      <w:pPr>
        <w:tabs>
          <w:tab w:val="num" w:pos="2160"/>
        </w:tabs>
        <w:ind w:left="2160" w:hanging="360"/>
      </w:pPr>
      <w:rPr>
        <w:rFonts w:ascii="Arial" w:hAnsi="Arial" w:hint="default"/>
      </w:rPr>
    </w:lvl>
    <w:lvl w:ilvl="3" w:tplc="08090005">
      <w:start w:val="1"/>
      <w:numFmt w:val="bullet"/>
      <w:lvlText w:val=""/>
      <w:lvlJc w:val="left"/>
      <w:pPr>
        <w:tabs>
          <w:tab w:val="num" w:pos="2880"/>
        </w:tabs>
        <w:ind w:left="2880" w:hanging="360"/>
      </w:pPr>
      <w:rPr>
        <w:rFonts w:ascii="Wingdings" w:hAnsi="Wingdings" w:hint="default"/>
      </w:rPr>
    </w:lvl>
    <w:lvl w:ilvl="4" w:tplc="95F8CEBA">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15:restartNumberingAfterBreak="0">
    <w:nsid w:val="730C7597"/>
    <w:multiLevelType w:val="hybridMultilevel"/>
    <w:tmpl w:val="7A4C1E44"/>
    <w:lvl w:ilvl="0" w:tplc="8E749F08">
      <w:start w:val="1"/>
      <w:numFmt w:val="bullet"/>
      <w:lvlText w:val="•"/>
      <w:lvlJc w:val="left"/>
      <w:pPr>
        <w:tabs>
          <w:tab w:val="num" w:pos="720"/>
        </w:tabs>
        <w:ind w:left="720" w:hanging="360"/>
      </w:pPr>
      <w:rPr>
        <w:rFonts w:ascii="Arial" w:hAnsi="Arial" w:hint="default"/>
      </w:rPr>
    </w:lvl>
    <w:lvl w:ilvl="1" w:tplc="98520338">
      <w:numFmt w:val="none"/>
      <w:lvlText w:val=""/>
      <w:lvlJc w:val="left"/>
      <w:pPr>
        <w:tabs>
          <w:tab w:val="num" w:pos="360"/>
        </w:tabs>
      </w:pPr>
    </w:lvl>
    <w:lvl w:ilvl="2" w:tplc="CBD8D7AE">
      <w:numFmt w:val="none"/>
      <w:lvlText w:val=""/>
      <w:lvlJc w:val="left"/>
      <w:pPr>
        <w:tabs>
          <w:tab w:val="num" w:pos="360"/>
        </w:tabs>
      </w:pPr>
    </w:lvl>
    <w:lvl w:ilvl="3" w:tplc="A7A612E2" w:tentative="1">
      <w:start w:val="1"/>
      <w:numFmt w:val="bullet"/>
      <w:lvlText w:val="•"/>
      <w:lvlJc w:val="left"/>
      <w:pPr>
        <w:tabs>
          <w:tab w:val="num" w:pos="2880"/>
        </w:tabs>
        <w:ind w:left="2880" w:hanging="360"/>
      </w:pPr>
      <w:rPr>
        <w:rFonts w:ascii="Arial" w:hAnsi="Arial" w:hint="default"/>
      </w:rPr>
    </w:lvl>
    <w:lvl w:ilvl="4" w:tplc="BEEE3116" w:tentative="1">
      <w:start w:val="1"/>
      <w:numFmt w:val="bullet"/>
      <w:lvlText w:val="•"/>
      <w:lvlJc w:val="left"/>
      <w:pPr>
        <w:tabs>
          <w:tab w:val="num" w:pos="3600"/>
        </w:tabs>
        <w:ind w:left="3600" w:hanging="360"/>
      </w:pPr>
      <w:rPr>
        <w:rFonts w:ascii="Arial" w:hAnsi="Arial" w:hint="default"/>
      </w:rPr>
    </w:lvl>
    <w:lvl w:ilvl="5" w:tplc="919A4B3A" w:tentative="1">
      <w:start w:val="1"/>
      <w:numFmt w:val="bullet"/>
      <w:lvlText w:val="•"/>
      <w:lvlJc w:val="left"/>
      <w:pPr>
        <w:tabs>
          <w:tab w:val="num" w:pos="4320"/>
        </w:tabs>
        <w:ind w:left="4320" w:hanging="360"/>
      </w:pPr>
      <w:rPr>
        <w:rFonts w:ascii="Arial" w:hAnsi="Arial" w:hint="default"/>
      </w:rPr>
    </w:lvl>
    <w:lvl w:ilvl="6" w:tplc="81ECB9A8" w:tentative="1">
      <w:start w:val="1"/>
      <w:numFmt w:val="bullet"/>
      <w:lvlText w:val="•"/>
      <w:lvlJc w:val="left"/>
      <w:pPr>
        <w:tabs>
          <w:tab w:val="num" w:pos="5040"/>
        </w:tabs>
        <w:ind w:left="5040" w:hanging="360"/>
      </w:pPr>
      <w:rPr>
        <w:rFonts w:ascii="Arial" w:hAnsi="Arial" w:hint="default"/>
      </w:rPr>
    </w:lvl>
    <w:lvl w:ilvl="7" w:tplc="0C06B214" w:tentative="1">
      <w:start w:val="1"/>
      <w:numFmt w:val="bullet"/>
      <w:lvlText w:val="•"/>
      <w:lvlJc w:val="left"/>
      <w:pPr>
        <w:tabs>
          <w:tab w:val="num" w:pos="5760"/>
        </w:tabs>
        <w:ind w:left="5760" w:hanging="360"/>
      </w:pPr>
      <w:rPr>
        <w:rFonts w:ascii="Arial" w:hAnsi="Arial" w:hint="default"/>
      </w:rPr>
    </w:lvl>
    <w:lvl w:ilvl="8" w:tplc="410852E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462F81"/>
    <w:multiLevelType w:val="hybridMultilevel"/>
    <w:tmpl w:val="6638EA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332F4B"/>
    <w:multiLevelType w:val="hybridMultilevel"/>
    <w:tmpl w:val="10E6B8E4"/>
    <w:lvl w:ilvl="0" w:tplc="B99899A6">
      <w:start w:val="1"/>
      <w:numFmt w:val="bullet"/>
      <w:lvlText w:val="–"/>
      <w:lvlJc w:val="left"/>
      <w:pPr>
        <w:tabs>
          <w:tab w:val="num" w:pos="720"/>
        </w:tabs>
        <w:ind w:left="720" w:hanging="360"/>
      </w:pPr>
      <w:rPr>
        <w:rFonts w:ascii="Arial" w:hAnsi="Arial" w:hint="default"/>
      </w:rPr>
    </w:lvl>
    <w:lvl w:ilvl="1" w:tplc="0172D1CE">
      <w:start w:val="1"/>
      <w:numFmt w:val="bullet"/>
      <w:lvlText w:val="–"/>
      <w:lvlJc w:val="left"/>
      <w:pPr>
        <w:tabs>
          <w:tab w:val="num" w:pos="1440"/>
        </w:tabs>
        <w:ind w:left="1440" w:hanging="360"/>
      </w:pPr>
      <w:rPr>
        <w:rFonts w:ascii="Arial" w:hAnsi="Arial" w:hint="default"/>
      </w:rPr>
    </w:lvl>
    <w:lvl w:ilvl="2" w:tplc="657A84D6" w:tentative="1">
      <w:start w:val="1"/>
      <w:numFmt w:val="bullet"/>
      <w:lvlText w:val="–"/>
      <w:lvlJc w:val="left"/>
      <w:pPr>
        <w:tabs>
          <w:tab w:val="num" w:pos="2160"/>
        </w:tabs>
        <w:ind w:left="2160" w:hanging="360"/>
      </w:pPr>
      <w:rPr>
        <w:rFonts w:ascii="Arial" w:hAnsi="Arial" w:hint="default"/>
      </w:rPr>
    </w:lvl>
    <w:lvl w:ilvl="3" w:tplc="6854BF36" w:tentative="1">
      <w:start w:val="1"/>
      <w:numFmt w:val="bullet"/>
      <w:lvlText w:val="–"/>
      <w:lvlJc w:val="left"/>
      <w:pPr>
        <w:tabs>
          <w:tab w:val="num" w:pos="2880"/>
        </w:tabs>
        <w:ind w:left="2880" w:hanging="360"/>
      </w:pPr>
      <w:rPr>
        <w:rFonts w:ascii="Arial" w:hAnsi="Arial" w:hint="default"/>
      </w:rPr>
    </w:lvl>
    <w:lvl w:ilvl="4" w:tplc="34144222" w:tentative="1">
      <w:start w:val="1"/>
      <w:numFmt w:val="bullet"/>
      <w:lvlText w:val="–"/>
      <w:lvlJc w:val="left"/>
      <w:pPr>
        <w:tabs>
          <w:tab w:val="num" w:pos="3600"/>
        </w:tabs>
        <w:ind w:left="3600" w:hanging="360"/>
      </w:pPr>
      <w:rPr>
        <w:rFonts w:ascii="Arial" w:hAnsi="Arial" w:hint="default"/>
      </w:rPr>
    </w:lvl>
    <w:lvl w:ilvl="5" w:tplc="69DCBBF2" w:tentative="1">
      <w:start w:val="1"/>
      <w:numFmt w:val="bullet"/>
      <w:lvlText w:val="–"/>
      <w:lvlJc w:val="left"/>
      <w:pPr>
        <w:tabs>
          <w:tab w:val="num" w:pos="4320"/>
        </w:tabs>
        <w:ind w:left="4320" w:hanging="360"/>
      </w:pPr>
      <w:rPr>
        <w:rFonts w:ascii="Arial" w:hAnsi="Arial" w:hint="default"/>
      </w:rPr>
    </w:lvl>
    <w:lvl w:ilvl="6" w:tplc="CA9069E4" w:tentative="1">
      <w:start w:val="1"/>
      <w:numFmt w:val="bullet"/>
      <w:lvlText w:val="–"/>
      <w:lvlJc w:val="left"/>
      <w:pPr>
        <w:tabs>
          <w:tab w:val="num" w:pos="5040"/>
        </w:tabs>
        <w:ind w:left="5040" w:hanging="360"/>
      </w:pPr>
      <w:rPr>
        <w:rFonts w:ascii="Arial" w:hAnsi="Arial" w:hint="default"/>
      </w:rPr>
    </w:lvl>
    <w:lvl w:ilvl="7" w:tplc="B23891E0" w:tentative="1">
      <w:start w:val="1"/>
      <w:numFmt w:val="bullet"/>
      <w:lvlText w:val="–"/>
      <w:lvlJc w:val="left"/>
      <w:pPr>
        <w:tabs>
          <w:tab w:val="num" w:pos="5760"/>
        </w:tabs>
        <w:ind w:left="5760" w:hanging="360"/>
      </w:pPr>
      <w:rPr>
        <w:rFonts w:ascii="Arial" w:hAnsi="Arial" w:hint="default"/>
      </w:rPr>
    </w:lvl>
    <w:lvl w:ilvl="8" w:tplc="C736050C"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39"/>
  </w:num>
  <w:num w:numId="3">
    <w:abstractNumId w:val="4"/>
  </w:num>
  <w:num w:numId="4">
    <w:abstractNumId w:val="3"/>
  </w:num>
  <w:num w:numId="5">
    <w:abstractNumId w:val="29"/>
  </w:num>
  <w:num w:numId="6">
    <w:abstractNumId w:val="34"/>
  </w:num>
  <w:num w:numId="7">
    <w:abstractNumId w:val="0"/>
  </w:num>
  <w:num w:numId="8">
    <w:abstractNumId w:val="15"/>
  </w:num>
  <w:num w:numId="9">
    <w:abstractNumId w:val="22"/>
  </w:num>
  <w:num w:numId="10">
    <w:abstractNumId w:val="6"/>
  </w:num>
  <w:num w:numId="11">
    <w:abstractNumId w:val="38"/>
  </w:num>
  <w:num w:numId="12">
    <w:abstractNumId w:val="28"/>
  </w:num>
  <w:num w:numId="13">
    <w:abstractNumId w:val="5"/>
  </w:num>
  <w:num w:numId="14">
    <w:abstractNumId w:val="43"/>
  </w:num>
  <w:num w:numId="15">
    <w:abstractNumId w:val="14"/>
  </w:num>
  <w:num w:numId="16">
    <w:abstractNumId w:val="27"/>
  </w:num>
  <w:num w:numId="17">
    <w:abstractNumId w:val="36"/>
  </w:num>
  <w:num w:numId="18">
    <w:abstractNumId w:val="20"/>
  </w:num>
  <w:num w:numId="19">
    <w:abstractNumId w:val="42"/>
  </w:num>
  <w:num w:numId="20">
    <w:abstractNumId w:val="7"/>
  </w:num>
  <w:num w:numId="21">
    <w:abstractNumId w:val="25"/>
  </w:num>
  <w:num w:numId="22">
    <w:abstractNumId w:val="30"/>
  </w:num>
  <w:num w:numId="23">
    <w:abstractNumId w:val="44"/>
  </w:num>
  <w:num w:numId="24">
    <w:abstractNumId w:val="19"/>
  </w:num>
  <w:num w:numId="25">
    <w:abstractNumId w:val="10"/>
  </w:num>
  <w:num w:numId="26">
    <w:abstractNumId w:val="12"/>
  </w:num>
  <w:num w:numId="27">
    <w:abstractNumId w:val="33"/>
  </w:num>
  <w:num w:numId="28">
    <w:abstractNumId w:val="32"/>
  </w:num>
  <w:num w:numId="29">
    <w:abstractNumId w:val="8"/>
  </w:num>
  <w:num w:numId="30">
    <w:abstractNumId w:val="21"/>
  </w:num>
  <w:num w:numId="31">
    <w:abstractNumId w:val="16"/>
  </w:num>
  <w:num w:numId="32">
    <w:abstractNumId w:val="37"/>
  </w:num>
  <w:num w:numId="33">
    <w:abstractNumId w:val="31"/>
  </w:num>
  <w:num w:numId="34">
    <w:abstractNumId w:val="9"/>
  </w:num>
  <w:num w:numId="35">
    <w:abstractNumId w:val="13"/>
  </w:num>
  <w:num w:numId="36">
    <w:abstractNumId w:val="40"/>
  </w:num>
  <w:num w:numId="37">
    <w:abstractNumId w:val="17"/>
  </w:num>
  <w:num w:numId="38">
    <w:abstractNumId w:val="18"/>
  </w:num>
  <w:num w:numId="39">
    <w:abstractNumId w:val="35"/>
  </w:num>
  <w:num w:numId="40">
    <w:abstractNumId w:val="24"/>
  </w:num>
  <w:num w:numId="41">
    <w:abstractNumId w:val="2"/>
  </w:num>
  <w:num w:numId="42">
    <w:abstractNumId w:val="11"/>
  </w:num>
  <w:num w:numId="43">
    <w:abstractNumId w:val="23"/>
  </w:num>
  <w:num w:numId="44">
    <w:abstractNumId w:val="26"/>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28AB"/>
    <w:rsid w:val="00024DE8"/>
    <w:rsid w:val="00033EB7"/>
    <w:rsid w:val="000527CF"/>
    <w:rsid w:val="0006605C"/>
    <w:rsid w:val="00072D64"/>
    <w:rsid w:val="000755C5"/>
    <w:rsid w:val="0008730D"/>
    <w:rsid w:val="000A62AC"/>
    <w:rsid w:val="000B01F7"/>
    <w:rsid w:val="000D163E"/>
    <w:rsid w:val="000D534D"/>
    <w:rsid w:val="000E5EC2"/>
    <w:rsid w:val="000E6565"/>
    <w:rsid w:val="000F428C"/>
    <w:rsid w:val="000F5A44"/>
    <w:rsid w:val="00100F51"/>
    <w:rsid w:val="00112B44"/>
    <w:rsid w:val="00123091"/>
    <w:rsid w:val="0015540D"/>
    <w:rsid w:val="00173D1A"/>
    <w:rsid w:val="00187ADE"/>
    <w:rsid w:val="001A0F73"/>
    <w:rsid w:val="001A6C0E"/>
    <w:rsid w:val="001B3281"/>
    <w:rsid w:val="001B5B25"/>
    <w:rsid w:val="001D0568"/>
    <w:rsid w:val="001E3EC1"/>
    <w:rsid w:val="001E4503"/>
    <w:rsid w:val="001E74BB"/>
    <w:rsid w:val="001F64C5"/>
    <w:rsid w:val="00200158"/>
    <w:rsid w:val="00202E71"/>
    <w:rsid w:val="00203D4A"/>
    <w:rsid w:val="002062E8"/>
    <w:rsid w:val="002177EC"/>
    <w:rsid w:val="00230816"/>
    <w:rsid w:val="002323B2"/>
    <w:rsid w:val="002439A5"/>
    <w:rsid w:val="00275565"/>
    <w:rsid w:val="00280D74"/>
    <w:rsid w:val="00281801"/>
    <w:rsid w:val="002A53BA"/>
    <w:rsid w:val="00304C43"/>
    <w:rsid w:val="00306B05"/>
    <w:rsid w:val="00322D14"/>
    <w:rsid w:val="00324CCC"/>
    <w:rsid w:val="00326EC5"/>
    <w:rsid w:val="0032715E"/>
    <w:rsid w:val="003329CE"/>
    <w:rsid w:val="00332E01"/>
    <w:rsid w:val="0034093D"/>
    <w:rsid w:val="003426D7"/>
    <w:rsid w:val="0034386D"/>
    <w:rsid w:val="003438AA"/>
    <w:rsid w:val="003525D1"/>
    <w:rsid w:val="0038386A"/>
    <w:rsid w:val="00386988"/>
    <w:rsid w:val="00387EBD"/>
    <w:rsid w:val="00397B64"/>
    <w:rsid w:val="003A6C0B"/>
    <w:rsid w:val="003B0DEC"/>
    <w:rsid w:val="003C5A15"/>
    <w:rsid w:val="003D3A49"/>
    <w:rsid w:val="003E3E2D"/>
    <w:rsid w:val="003E67A2"/>
    <w:rsid w:val="003F363C"/>
    <w:rsid w:val="00406074"/>
    <w:rsid w:val="004230BF"/>
    <w:rsid w:val="0042489C"/>
    <w:rsid w:val="00440176"/>
    <w:rsid w:val="004401FE"/>
    <w:rsid w:val="00446A90"/>
    <w:rsid w:val="00447994"/>
    <w:rsid w:val="00466CA6"/>
    <w:rsid w:val="00467C66"/>
    <w:rsid w:val="00471044"/>
    <w:rsid w:val="00481E68"/>
    <w:rsid w:val="00481F4D"/>
    <w:rsid w:val="0049439B"/>
    <w:rsid w:val="00496C5B"/>
    <w:rsid w:val="004D1073"/>
    <w:rsid w:val="004E2808"/>
    <w:rsid w:val="004F734E"/>
    <w:rsid w:val="00510199"/>
    <w:rsid w:val="0053252A"/>
    <w:rsid w:val="005347EB"/>
    <w:rsid w:val="00537FE2"/>
    <w:rsid w:val="00543855"/>
    <w:rsid w:val="0054389C"/>
    <w:rsid w:val="005479AE"/>
    <w:rsid w:val="00555FD0"/>
    <w:rsid w:val="00562DFE"/>
    <w:rsid w:val="005808E9"/>
    <w:rsid w:val="00584BFD"/>
    <w:rsid w:val="00590685"/>
    <w:rsid w:val="005973E8"/>
    <w:rsid w:val="005A1277"/>
    <w:rsid w:val="005C0EB0"/>
    <w:rsid w:val="005C100F"/>
    <w:rsid w:val="005C79FF"/>
    <w:rsid w:val="005D373D"/>
    <w:rsid w:val="005E3491"/>
    <w:rsid w:val="005E41C3"/>
    <w:rsid w:val="00607DAB"/>
    <w:rsid w:val="00616A4F"/>
    <w:rsid w:val="006219A4"/>
    <w:rsid w:val="00636E42"/>
    <w:rsid w:val="006402DD"/>
    <w:rsid w:val="00647725"/>
    <w:rsid w:val="00652F38"/>
    <w:rsid w:val="006544BD"/>
    <w:rsid w:val="00656B4C"/>
    <w:rsid w:val="00670F43"/>
    <w:rsid w:val="00676CFF"/>
    <w:rsid w:val="00685EFE"/>
    <w:rsid w:val="006917A2"/>
    <w:rsid w:val="006925D9"/>
    <w:rsid w:val="006A69F0"/>
    <w:rsid w:val="006A7548"/>
    <w:rsid w:val="006C48FC"/>
    <w:rsid w:val="006C656F"/>
    <w:rsid w:val="006D7986"/>
    <w:rsid w:val="006F4A8D"/>
    <w:rsid w:val="007070F1"/>
    <w:rsid w:val="00731CC2"/>
    <w:rsid w:val="00775CBB"/>
    <w:rsid w:val="00777331"/>
    <w:rsid w:val="0078039A"/>
    <w:rsid w:val="007824A3"/>
    <w:rsid w:val="007C25F9"/>
    <w:rsid w:val="007F6C85"/>
    <w:rsid w:val="0080113E"/>
    <w:rsid w:val="00820718"/>
    <w:rsid w:val="0082123B"/>
    <w:rsid w:val="0083017B"/>
    <w:rsid w:val="00853919"/>
    <w:rsid w:val="00853B11"/>
    <w:rsid w:val="008630DE"/>
    <w:rsid w:val="00883B49"/>
    <w:rsid w:val="00884466"/>
    <w:rsid w:val="008925DE"/>
    <w:rsid w:val="008954A9"/>
    <w:rsid w:val="00896E69"/>
    <w:rsid w:val="008B47A0"/>
    <w:rsid w:val="008B4BC4"/>
    <w:rsid w:val="008B5008"/>
    <w:rsid w:val="008C6E15"/>
    <w:rsid w:val="008D005F"/>
    <w:rsid w:val="008D20A4"/>
    <w:rsid w:val="008D3645"/>
    <w:rsid w:val="008D46A9"/>
    <w:rsid w:val="008E1AFC"/>
    <w:rsid w:val="008F72FF"/>
    <w:rsid w:val="00902A59"/>
    <w:rsid w:val="00914480"/>
    <w:rsid w:val="00922372"/>
    <w:rsid w:val="00927F9D"/>
    <w:rsid w:val="00931E1A"/>
    <w:rsid w:val="00940509"/>
    <w:rsid w:val="00941579"/>
    <w:rsid w:val="00951FC6"/>
    <w:rsid w:val="00997A6D"/>
    <w:rsid w:val="009A6C88"/>
    <w:rsid w:val="009B0C6D"/>
    <w:rsid w:val="009B2004"/>
    <w:rsid w:val="009B2B37"/>
    <w:rsid w:val="009C0A63"/>
    <w:rsid w:val="009C32E0"/>
    <w:rsid w:val="009F07C7"/>
    <w:rsid w:val="009F680C"/>
    <w:rsid w:val="00A11EC7"/>
    <w:rsid w:val="00A16533"/>
    <w:rsid w:val="00A33077"/>
    <w:rsid w:val="00A570A6"/>
    <w:rsid w:val="00A57958"/>
    <w:rsid w:val="00A911B9"/>
    <w:rsid w:val="00A967E3"/>
    <w:rsid w:val="00B004E6"/>
    <w:rsid w:val="00B1000D"/>
    <w:rsid w:val="00B12D1E"/>
    <w:rsid w:val="00B568FE"/>
    <w:rsid w:val="00B73D45"/>
    <w:rsid w:val="00B75389"/>
    <w:rsid w:val="00BB31C1"/>
    <w:rsid w:val="00BB363E"/>
    <w:rsid w:val="00BB4682"/>
    <w:rsid w:val="00BC06A8"/>
    <w:rsid w:val="00BC5A37"/>
    <w:rsid w:val="00BE3F60"/>
    <w:rsid w:val="00C21AD5"/>
    <w:rsid w:val="00C21ECC"/>
    <w:rsid w:val="00C24CDA"/>
    <w:rsid w:val="00C27396"/>
    <w:rsid w:val="00C375AB"/>
    <w:rsid w:val="00C639C4"/>
    <w:rsid w:val="00C6529F"/>
    <w:rsid w:val="00C6714E"/>
    <w:rsid w:val="00C832CD"/>
    <w:rsid w:val="00C944E9"/>
    <w:rsid w:val="00C97133"/>
    <w:rsid w:val="00CA0016"/>
    <w:rsid w:val="00CA279C"/>
    <w:rsid w:val="00CB2B82"/>
    <w:rsid w:val="00CC2420"/>
    <w:rsid w:val="00CC7199"/>
    <w:rsid w:val="00CE747B"/>
    <w:rsid w:val="00CF6CE4"/>
    <w:rsid w:val="00D30D73"/>
    <w:rsid w:val="00D32F5F"/>
    <w:rsid w:val="00D57BEC"/>
    <w:rsid w:val="00D6303D"/>
    <w:rsid w:val="00D80C09"/>
    <w:rsid w:val="00D832DE"/>
    <w:rsid w:val="00D851E7"/>
    <w:rsid w:val="00D91323"/>
    <w:rsid w:val="00DA1EA1"/>
    <w:rsid w:val="00DB4A0B"/>
    <w:rsid w:val="00DC4F0A"/>
    <w:rsid w:val="00DD2A2B"/>
    <w:rsid w:val="00DD4BDE"/>
    <w:rsid w:val="00DD5DED"/>
    <w:rsid w:val="00DE1BEA"/>
    <w:rsid w:val="00DE3956"/>
    <w:rsid w:val="00DE3D3B"/>
    <w:rsid w:val="00E013CF"/>
    <w:rsid w:val="00E059E2"/>
    <w:rsid w:val="00E22AFE"/>
    <w:rsid w:val="00E24D7C"/>
    <w:rsid w:val="00E25F6A"/>
    <w:rsid w:val="00E31310"/>
    <w:rsid w:val="00E34795"/>
    <w:rsid w:val="00E421DD"/>
    <w:rsid w:val="00E42AF5"/>
    <w:rsid w:val="00E4527F"/>
    <w:rsid w:val="00E62CED"/>
    <w:rsid w:val="00E7510E"/>
    <w:rsid w:val="00E756E6"/>
    <w:rsid w:val="00E87326"/>
    <w:rsid w:val="00EA5D12"/>
    <w:rsid w:val="00EA6601"/>
    <w:rsid w:val="00EA75AF"/>
    <w:rsid w:val="00EB5AFF"/>
    <w:rsid w:val="00EC0835"/>
    <w:rsid w:val="00ED394C"/>
    <w:rsid w:val="00ED5A47"/>
    <w:rsid w:val="00F0057F"/>
    <w:rsid w:val="00F03B58"/>
    <w:rsid w:val="00F53632"/>
    <w:rsid w:val="00F54E73"/>
    <w:rsid w:val="00F73520"/>
    <w:rsid w:val="00F81DBD"/>
    <w:rsid w:val="00F91426"/>
    <w:rsid w:val="00F927BC"/>
    <w:rsid w:val="00F970F8"/>
    <w:rsid w:val="00FD1A99"/>
    <w:rsid w:val="00FF6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F18DE"/>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FC6"/>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E8732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 ?? 字符,????? 字符,???? 字符,リスト段落 字符,Lista1 字符,R4_bullets 字符,列出段落1 字符,中等深浅网格 1 - 着色 21 字符,列表段落 字符,列表段落1 字符,—ño’i—Ž 字符,¥¡¡¡¡ì¬º¥¹¥È¶ÎÂä 字符,ÁÐ³ö¶ÎÂä 字符,¥ê¥¹¥È¶ÎÂä 字符,1st level - Bullet List Paragraph 字符,Paragrafo elenco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character" w:customStyle="1" w:styleId="40">
    <w:name w:val="标题 4 字符"/>
    <w:basedOn w:val="a0"/>
    <w:link w:val="4"/>
    <w:uiPriority w:val="9"/>
    <w:semiHidden/>
    <w:rsid w:val="00E87326"/>
    <w:rPr>
      <w:rFonts w:asciiTheme="majorHAnsi" w:eastAsiaTheme="majorEastAsia" w:hAnsiTheme="majorHAnsi" w:cstheme="majorBidi"/>
      <w:b/>
      <w:bCs/>
      <w:sz w:val="28"/>
      <w:szCs w:val="28"/>
    </w:rPr>
  </w:style>
  <w:style w:type="paragraph" w:styleId="ab">
    <w:name w:val="Body Text"/>
    <w:basedOn w:val="a"/>
    <w:link w:val="ac"/>
    <w:qFormat/>
    <w:rsid w:val="001B3281"/>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c">
    <w:name w:val="正文文本 字符"/>
    <w:basedOn w:val="a0"/>
    <w:link w:val="ab"/>
    <w:qFormat/>
    <w:rsid w:val="001B3281"/>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04085">
      <w:bodyDiv w:val="1"/>
      <w:marLeft w:val="0"/>
      <w:marRight w:val="0"/>
      <w:marTop w:val="0"/>
      <w:marBottom w:val="0"/>
      <w:divBdr>
        <w:top w:val="none" w:sz="0" w:space="0" w:color="auto"/>
        <w:left w:val="none" w:sz="0" w:space="0" w:color="auto"/>
        <w:bottom w:val="none" w:sz="0" w:space="0" w:color="auto"/>
        <w:right w:val="none" w:sz="0" w:space="0" w:color="auto"/>
      </w:divBdr>
      <w:divsChild>
        <w:div w:id="1927420228">
          <w:marLeft w:val="547"/>
          <w:marRight w:val="0"/>
          <w:marTop w:val="86"/>
          <w:marBottom w:val="0"/>
          <w:divBdr>
            <w:top w:val="none" w:sz="0" w:space="0" w:color="auto"/>
            <w:left w:val="none" w:sz="0" w:space="0" w:color="auto"/>
            <w:bottom w:val="none" w:sz="0" w:space="0" w:color="auto"/>
            <w:right w:val="none" w:sz="0" w:space="0" w:color="auto"/>
          </w:divBdr>
        </w:div>
        <w:div w:id="1522158801">
          <w:marLeft w:val="1166"/>
          <w:marRight w:val="0"/>
          <w:marTop w:val="86"/>
          <w:marBottom w:val="0"/>
          <w:divBdr>
            <w:top w:val="none" w:sz="0" w:space="0" w:color="auto"/>
            <w:left w:val="none" w:sz="0" w:space="0" w:color="auto"/>
            <w:bottom w:val="none" w:sz="0" w:space="0" w:color="auto"/>
            <w:right w:val="none" w:sz="0" w:space="0" w:color="auto"/>
          </w:divBdr>
        </w:div>
        <w:div w:id="156507212">
          <w:marLeft w:val="1166"/>
          <w:marRight w:val="0"/>
          <w:marTop w:val="86"/>
          <w:marBottom w:val="0"/>
          <w:divBdr>
            <w:top w:val="none" w:sz="0" w:space="0" w:color="auto"/>
            <w:left w:val="none" w:sz="0" w:space="0" w:color="auto"/>
            <w:bottom w:val="none" w:sz="0" w:space="0" w:color="auto"/>
            <w:right w:val="none" w:sz="0" w:space="0" w:color="auto"/>
          </w:divBdr>
        </w:div>
        <w:div w:id="275605351">
          <w:marLeft w:val="1166"/>
          <w:marRight w:val="0"/>
          <w:marTop w:val="86"/>
          <w:marBottom w:val="0"/>
          <w:divBdr>
            <w:top w:val="none" w:sz="0" w:space="0" w:color="auto"/>
            <w:left w:val="none" w:sz="0" w:space="0" w:color="auto"/>
            <w:bottom w:val="none" w:sz="0" w:space="0" w:color="auto"/>
            <w:right w:val="none" w:sz="0" w:space="0" w:color="auto"/>
          </w:divBdr>
        </w:div>
        <w:div w:id="682900568">
          <w:marLeft w:val="1166"/>
          <w:marRight w:val="0"/>
          <w:marTop w:val="86"/>
          <w:marBottom w:val="0"/>
          <w:divBdr>
            <w:top w:val="none" w:sz="0" w:space="0" w:color="auto"/>
            <w:left w:val="none" w:sz="0" w:space="0" w:color="auto"/>
            <w:bottom w:val="none" w:sz="0" w:space="0" w:color="auto"/>
            <w:right w:val="none" w:sz="0" w:space="0" w:color="auto"/>
          </w:divBdr>
        </w:div>
        <w:div w:id="1612932958">
          <w:marLeft w:val="1166"/>
          <w:marRight w:val="0"/>
          <w:marTop w:val="86"/>
          <w:marBottom w:val="0"/>
          <w:divBdr>
            <w:top w:val="none" w:sz="0" w:space="0" w:color="auto"/>
            <w:left w:val="none" w:sz="0" w:space="0" w:color="auto"/>
            <w:bottom w:val="none" w:sz="0" w:space="0" w:color="auto"/>
            <w:right w:val="none" w:sz="0" w:space="0" w:color="auto"/>
          </w:divBdr>
        </w:div>
        <w:div w:id="1392651398">
          <w:marLeft w:val="547"/>
          <w:marRight w:val="0"/>
          <w:marTop w:val="86"/>
          <w:marBottom w:val="0"/>
          <w:divBdr>
            <w:top w:val="none" w:sz="0" w:space="0" w:color="auto"/>
            <w:left w:val="none" w:sz="0" w:space="0" w:color="auto"/>
            <w:bottom w:val="none" w:sz="0" w:space="0" w:color="auto"/>
            <w:right w:val="none" w:sz="0" w:space="0" w:color="auto"/>
          </w:divBdr>
        </w:div>
        <w:div w:id="1516578665">
          <w:marLeft w:val="1166"/>
          <w:marRight w:val="0"/>
          <w:marTop w:val="86"/>
          <w:marBottom w:val="0"/>
          <w:divBdr>
            <w:top w:val="none" w:sz="0" w:space="0" w:color="auto"/>
            <w:left w:val="none" w:sz="0" w:space="0" w:color="auto"/>
            <w:bottom w:val="none" w:sz="0" w:space="0" w:color="auto"/>
            <w:right w:val="none" w:sz="0" w:space="0" w:color="auto"/>
          </w:divBdr>
        </w:div>
        <w:div w:id="1190604375">
          <w:marLeft w:val="1166"/>
          <w:marRight w:val="0"/>
          <w:marTop w:val="86"/>
          <w:marBottom w:val="0"/>
          <w:divBdr>
            <w:top w:val="none" w:sz="0" w:space="0" w:color="auto"/>
            <w:left w:val="none" w:sz="0" w:space="0" w:color="auto"/>
            <w:bottom w:val="none" w:sz="0" w:space="0" w:color="auto"/>
            <w:right w:val="none" w:sz="0" w:space="0" w:color="auto"/>
          </w:divBdr>
        </w:div>
        <w:div w:id="631592415">
          <w:marLeft w:val="547"/>
          <w:marRight w:val="0"/>
          <w:marTop w:val="86"/>
          <w:marBottom w:val="0"/>
          <w:divBdr>
            <w:top w:val="none" w:sz="0" w:space="0" w:color="auto"/>
            <w:left w:val="none" w:sz="0" w:space="0" w:color="auto"/>
            <w:bottom w:val="none" w:sz="0" w:space="0" w:color="auto"/>
            <w:right w:val="none" w:sz="0" w:space="0" w:color="auto"/>
          </w:divBdr>
        </w:div>
        <w:div w:id="1899854038">
          <w:marLeft w:val="1166"/>
          <w:marRight w:val="0"/>
          <w:marTop w:val="86"/>
          <w:marBottom w:val="0"/>
          <w:divBdr>
            <w:top w:val="none" w:sz="0" w:space="0" w:color="auto"/>
            <w:left w:val="none" w:sz="0" w:space="0" w:color="auto"/>
            <w:bottom w:val="none" w:sz="0" w:space="0" w:color="auto"/>
            <w:right w:val="none" w:sz="0" w:space="0" w:color="auto"/>
          </w:divBdr>
        </w:div>
        <w:div w:id="475881768">
          <w:marLeft w:val="1800"/>
          <w:marRight w:val="0"/>
          <w:marTop w:val="86"/>
          <w:marBottom w:val="0"/>
          <w:divBdr>
            <w:top w:val="none" w:sz="0" w:space="0" w:color="auto"/>
            <w:left w:val="none" w:sz="0" w:space="0" w:color="auto"/>
            <w:bottom w:val="none" w:sz="0" w:space="0" w:color="auto"/>
            <w:right w:val="none" w:sz="0" w:space="0" w:color="auto"/>
          </w:divBdr>
        </w:div>
        <w:div w:id="24990522">
          <w:marLeft w:val="1800"/>
          <w:marRight w:val="0"/>
          <w:marTop w:val="86"/>
          <w:marBottom w:val="0"/>
          <w:divBdr>
            <w:top w:val="none" w:sz="0" w:space="0" w:color="auto"/>
            <w:left w:val="none" w:sz="0" w:space="0" w:color="auto"/>
            <w:bottom w:val="none" w:sz="0" w:space="0" w:color="auto"/>
            <w:right w:val="none" w:sz="0" w:space="0" w:color="auto"/>
          </w:divBdr>
        </w:div>
        <w:div w:id="1031220938">
          <w:marLeft w:val="1166"/>
          <w:marRight w:val="0"/>
          <w:marTop w:val="86"/>
          <w:marBottom w:val="0"/>
          <w:divBdr>
            <w:top w:val="none" w:sz="0" w:space="0" w:color="auto"/>
            <w:left w:val="none" w:sz="0" w:space="0" w:color="auto"/>
            <w:bottom w:val="none" w:sz="0" w:space="0" w:color="auto"/>
            <w:right w:val="none" w:sz="0" w:space="0" w:color="auto"/>
          </w:divBdr>
        </w:div>
      </w:divsChild>
    </w:div>
    <w:div w:id="252663108">
      <w:bodyDiv w:val="1"/>
      <w:marLeft w:val="0"/>
      <w:marRight w:val="0"/>
      <w:marTop w:val="0"/>
      <w:marBottom w:val="0"/>
      <w:divBdr>
        <w:top w:val="none" w:sz="0" w:space="0" w:color="auto"/>
        <w:left w:val="none" w:sz="0" w:space="0" w:color="auto"/>
        <w:bottom w:val="none" w:sz="0" w:space="0" w:color="auto"/>
        <w:right w:val="none" w:sz="0" w:space="0" w:color="auto"/>
      </w:divBdr>
    </w:div>
    <w:div w:id="265505629">
      <w:bodyDiv w:val="1"/>
      <w:marLeft w:val="0"/>
      <w:marRight w:val="0"/>
      <w:marTop w:val="0"/>
      <w:marBottom w:val="0"/>
      <w:divBdr>
        <w:top w:val="none" w:sz="0" w:space="0" w:color="auto"/>
        <w:left w:val="none" w:sz="0" w:space="0" w:color="auto"/>
        <w:bottom w:val="none" w:sz="0" w:space="0" w:color="auto"/>
        <w:right w:val="none" w:sz="0" w:space="0" w:color="auto"/>
      </w:divBdr>
      <w:divsChild>
        <w:div w:id="672878948">
          <w:marLeft w:val="1166"/>
          <w:marRight w:val="0"/>
          <w:marTop w:val="106"/>
          <w:marBottom w:val="0"/>
          <w:divBdr>
            <w:top w:val="none" w:sz="0" w:space="0" w:color="auto"/>
            <w:left w:val="none" w:sz="0" w:space="0" w:color="auto"/>
            <w:bottom w:val="none" w:sz="0" w:space="0" w:color="auto"/>
            <w:right w:val="none" w:sz="0" w:space="0" w:color="auto"/>
          </w:divBdr>
        </w:div>
      </w:divsChild>
    </w:div>
    <w:div w:id="412243547">
      <w:bodyDiv w:val="1"/>
      <w:marLeft w:val="0"/>
      <w:marRight w:val="0"/>
      <w:marTop w:val="0"/>
      <w:marBottom w:val="0"/>
      <w:divBdr>
        <w:top w:val="none" w:sz="0" w:space="0" w:color="auto"/>
        <w:left w:val="none" w:sz="0" w:space="0" w:color="auto"/>
        <w:bottom w:val="none" w:sz="0" w:space="0" w:color="auto"/>
        <w:right w:val="none" w:sz="0" w:space="0" w:color="auto"/>
      </w:divBdr>
      <w:divsChild>
        <w:div w:id="431513406">
          <w:marLeft w:val="547"/>
          <w:marRight w:val="0"/>
          <w:marTop w:val="154"/>
          <w:marBottom w:val="0"/>
          <w:divBdr>
            <w:top w:val="none" w:sz="0" w:space="0" w:color="auto"/>
            <w:left w:val="none" w:sz="0" w:space="0" w:color="auto"/>
            <w:bottom w:val="none" w:sz="0" w:space="0" w:color="auto"/>
            <w:right w:val="none" w:sz="0" w:space="0" w:color="auto"/>
          </w:divBdr>
        </w:div>
        <w:div w:id="245002122">
          <w:marLeft w:val="1166"/>
          <w:marRight w:val="0"/>
          <w:marTop w:val="134"/>
          <w:marBottom w:val="0"/>
          <w:divBdr>
            <w:top w:val="none" w:sz="0" w:space="0" w:color="auto"/>
            <w:left w:val="none" w:sz="0" w:space="0" w:color="auto"/>
            <w:bottom w:val="none" w:sz="0" w:space="0" w:color="auto"/>
            <w:right w:val="none" w:sz="0" w:space="0" w:color="auto"/>
          </w:divBdr>
        </w:div>
        <w:div w:id="754788949">
          <w:marLeft w:val="547"/>
          <w:marRight w:val="0"/>
          <w:marTop w:val="154"/>
          <w:marBottom w:val="0"/>
          <w:divBdr>
            <w:top w:val="none" w:sz="0" w:space="0" w:color="auto"/>
            <w:left w:val="none" w:sz="0" w:space="0" w:color="auto"/>
            <w:bottom w:val="none" w:sz="0" w:space="0" w:color="auto"/>
            <w:right w:val="none" w:sz="0" w:space="0" w:color="auto"/>
          </w:divBdr>
        </w:div>
        <w:div w:id="68044043">
          <w:marLeft w:val="1166"/>
          <w:marRight w:val="0"/>
          <w:marTop w:val="134"/>
          <w:marBottom w:val="0"/>
          <w:divBdr>
            <w:top w:val="none" w:sz="0" w:space="0" w:color="auto"/>
            <w:left w:val="none" w:sz="0" w:space="0" w:color="auto"/>
            <w:bottom w:val="none" w:sz="0" w:space="0" w:color="auto"/>
            <w:right w:val="none" w:sz="0" w:space="0" w:color="auto"/>
          </w:divBdr>
        </w:div>
        <w:div w:id="672492809">
          <w:marLeft w:val="1166"/>
          <w:marRight w:val="0"/>
          <w:marTop w:val="134"/>
          <w:marBottom w:val="0"/>
          <w:divBdr>
            <w:top w:val="none" w:sz="0" w:space="0" w:color="auto"/>
            <w:left w:val="none" w:sz="0" w:space="0" w:color="auto"/>
            <w:bottom w:val="none" w:sz="0" w:space="0" w:color="auto"/>
            <w:right w:val="none" w:sz="0" w:space="0" w:color="auto"/>
          </w:divBdr>
        </w:div>
      </w:divsChild>
    </w:div>
    <w:div w:id="442917753">
      <w:bodyDiv w:val="1"/>
      <w:marLeft w:val="0"/>
      <w:marRight w:val="0"/>
      <w:marTop w:val="0"/>
      <w:marBottom w:val="0"/>
      <w:divBdr>
        <w:top w:val="none" w:sz="0" w:space="0" w:color="auto"/>
        <w:left w:val="none" w:sz="0" w:space="0" w:color="auto"/>
        <w:bottom w:val="none" w:sz="0" w:space="0" w:color="auto"/>
        <w:right w:val="none" w:sz="0" w:space="0" w:color="auto"/>
      </w:divBdr>
      <w:divsChild>
        <w:div w:id="1663653901">
          <w:marLeft w:val="547"/>
          <w:marRight w:val="0"/>
          <w:marTop w:val="120"/>
          <w:marBottom w:val="0"/>
          <w:divBdr>
            <w:top w:val="none" w:sz="0" w:space="0" w:color="auto"/>
            <w:left w:val="none" w:sz="0" w:space="0" w:color="auto"/>
            <w:bottom w:val="none" w:sz="0" w:space="0" w:color="auto"/>
            <w:right w:val="none" w:sz="0" w:space="0" w:color="auto"/>
          </w:divBdr>
        </w:div>
        <w:div w:id="871844426">
          <w:marLeft w:val="1166"/>
          <w:marRight w:val="0"/>
          <w:marTop w:val="106"/>
          <w:marBottom w:val="0"/>
          <w:divBdr>
            <w:top w:val="none" w:sz="0" w:space="0" w:color="auto"/>
            <w:left w:val="none" w:sz="0" w:space="0" w:color="auto"/>
            <w:bottom w:val="none" w:sz="0" w:space="0" w:color="auto"/>
            <w:right w:val="none" w:sz="0" w:space="0" w:color="auto"/>
          </w:divBdr>
        </w:div>
        <w:div w:id="1647856676">
          <w:marLeft w:val="1166"/>
          <w:marRight w:val="0"/>
          <w:marTop w:val="106"/>
          <w:marBottom w:val="0"/>
          <w:divBdr>
            <w:top w:val="none" w:sz="0" w:space="0" w:color="auto"/>
            <w:left w:val="none" w:sz="0" w:space="0" w:color="auto"/>
            <w:bottom w:val="none" w:sz="0" w:space="0" w:color="auto"/>
            <w:right w:val="none" w:sz="0" w:space="0" w:color="auto"/>
          </w:divBdr>
        </w:div>
        <w:div w:id="1750302003">
          <w:marLeft w:val="1166"/>
          <w:marRight w:val="0"/>
          <w:marTop w:val="106"/>
          <w:marBottom w:val="0"/>
          <w:divBdr>
            <w:top w:val="none" w:sz="0" w:space="0" w:color="auto"/>
            <w:left w:val="none" w:sz="0" w:space="0" w:color="auto"/>
            <w:bottom w:val="none" w:sz="0" w:space="0" w:color="auto"/>
            <w:right w:val="none" w:sz="0" w:space="0" w:color="auto"/>
          </w:divBdr>
        </w:div>
        <w:div w:id="708189662">
          <w:marLeft w:val="547"/>
          <w:marRight w:val="0"/>
          <w:marTop w:val="120"/>
          <w:marBottom w:val="0"/>
          <w:divBdr>
            <w:top w:val="none" w:sz="0" w:space="0" w:color="auto"/>
            <w:left w:val="none" w:sz="0" w:space="0" w:color="auto"/>
            <w:bottom w:val="none" w:sz="0" w:space="0" w:color="auto"/>
            <w:right w:val="none" w:sz="0" w:space="0" w:color="auto"/>
          </w:divBdr>
        </w:div>
        <w:div w:id="1186408862">
          <w:marLeft w:val="547"/>
          <w:marRight w:val="0"/>
          <w:marTop w:val="120"/>
          <w:marBottom w:val="0"/>
          <w:divBdr>
            <w:top w:val="none" w:sz="0" w:space="0" w:color="auto"/>
            <w:left w:val="none" w:sz="0" w:space="0" w:color="auto"/>
            <w:bottom w:val="none" w:sz="0" w:space="0" w:color="auto"/>
            <w:right w:val="none" w:sz="0" w:space="0" w:color="auto"/>
          </w:divBdr>
        </w:div>
        <w:div w:id="1284382734">
          <w:marLeft w:val="1166"/>
          <w:marRight w:val="0"/>
          <w:marTop w:val="106"/>
          <w:marBottom w:val="0"/>
          <w:divBdr>
            <w:top w:val="none" w:sz="0" w:space="0" w:color="auto"/>
            <w:left w:val="none" w:sz="0" w:space="0" w:color="auto"/>
            <w:bottom w:val="none" w:sz="0" w:space="0" w:color="auto"/>
            <w:right w:val="none" w:sz="0" w:space="0" w:color="auto"/>
          </w:divBdr>
        </w:div>
        <w:div w:id="1899052494">
          <w:marLeft w:val="1166"/>
          <w:marRight w:val="0"/>
          <w:marTop w:val="106"/>
          <w:marBottom w:val="0"/>
          <w:divBdr>
            <w:top w:val="none" w:sz="0" w:space="0" w:color="auto"/>
            <w:left w:val="none" w:sz="0" w:space="0" w:color="auto"/>
            <w:bottom w:val="none" w:sz="0" w:space="0" w:color="auto"/>
            <w:right w:val="none" w:sz="0" w:space="0" w:color="auto"/>
          </w:divBdr>
        </w:div>
        <w:div w:id="1936744778">
          <w:marLeft w:val="1166"/>
          <w:marRight w:val="0"/>
          <w:marTop w:val="106"/>
          <w:marBottom w:val="0"/>
          <w:divBdr>
            <w:top w:val="none" w:sz="0" w:space="0" w:color="auto"/>
            <w:left w:val="none" w:sz="0" w:space="0" w:color="auto"/>
            <w:bottom w:val="none" w:sz="0" w:space="0" w:color="auto"/>
            <w:right w:val="none" w:sz="0" w:space="0" w:color="auto"/>
          </w:divBdr>
        </w:div>
        <w:div w:id="1793865936">
          <w:marLeft w:val="547"/>
          <w:marRight w:val="0"/>
          <w:marTop w:val="120"/>
          <w:marBottom w:val="0"/>
          <w:divBdr>
            <w:top w:val="none" w:sz="0" w:space="0" w:color="auto"/>
            <w:left w:val="none" w:sz="0" w:space="0" w:color="auto"/>
            <w:bottom w:val="none" w:sz="0" w:space="0" w:color="auto"/>
            <w:right w:val="none" w:sz="0" w:space="0" w:color="auto"/>
          </w:divBdr>
        </w:div>
      </w:divsChild>
    </w:div>
    <w:div w:id="491675879">
      <w:bodyDiv w:val="1"/>
      <w:marLeft w:val="0"/>
      <w:marRight w:val="0"/>
      <w:marTop w:val="0"/>
      <w:marBottom w:val="0"/>
      <w:divBdr>
        <w:top w:val="none" w:sz="0" w:space="0" w:color="auto"/>
        <w:left w:val="none" w:sz="0" w:space="0" w:color="auto"/>
        <w:bottom w:val="none" w:sz="0" w:space="0" w:color="auto"/>
        <w:right w:val="none" w:sz="0" w:space="0" w:color="auto"/>
      </w:divBdr>
      <w:divsChild>
        <w:div w:id="619186472">
          <w:marLeft w:val="547"/>
          <w:marRight w:val="0"/>
          <w:marTop w:val="130"/>
          <w:marBottom w:val="0"/>
          <w:divBdr>
            <w:top w:val="none" w:sz="0" w:space="0" w:color="auto"/>
            <w:left w:val="none" w:sz="0" w:space="0" w:color="auto"/>
            <w:bottom w:val="none" w:sz="0" w:space="0" w:color="auto"/>
            <w:right w:val="none" w:sz="0" w:space="0" w:color="auto"/>
          </w:divBdr>
        </w:div>
        <w:div w:id="181093263">
          <w:marLeft w:val="1166"/>
          <w:marRight w:val="0"/>
          <w:marTop w:val="115"/>
          <w:marBottom w:val="0"/>
          <w:divBdr>
            <w:top w:val="none" w:sz="0" w:space="0" w:color="auto"/>
            <w:left w:val="none" w:sz="0" w:space="0" w:color="auto"/>
            <w:bottom w:val="none" w:sz="0" w:space="0" w:color="auto"/>
            <w:right w:val="none" w:sz="0" w:space="0" w:color="auto"/>
          </w:divBdr>
        </w:div>
        <w:div w:id="923955984">
          <w:marLeft w:val="1166"/>
          <w:marRight w:val="0"/>
          <w:marTop w:val="115"/>
          <w:marBottom w:val="0"/>
          <w:divBdr>
            <w:top w:val="none" w:sz="0" w:space="0" w:color="auto"/>
            <w:left w:val="none" w:sz="0" w:space="0" w:color="auto"/>
            <w:bottom w:val="none" w:sz="0" w:space="0" w:color="auto"/>
            <w:right w:val="none" w:sz="0" w:space="0" w:color="auto"/>
          </w:divBdr>
        </w:div>
        <w:div w:id="1289166246">
          <w:marLeft w:val="1800"/>
          <w:marRight w:val="0"/>
          <w:marTop w:val="96"/>
          <w:marBottom w:val="0"/>
          <w:divBdr>
            <w:top w:val="none" w:sz="0" w:space="0" w:color="auto"/>
            <w:left w:val="none" w:sz="0" w:space="0" w:color="auto"/>
            <w:bottom w:val="none" w:sz="0" w:space="0" w:color="auto"/>
            <w:right w:val="none" w:sz="0" w:space="0" w:color="auto"/>
          </w:divBdr>
        </w:div>
        <w:div w:id="1572306917">
          <w:marLeft w:val="1166"/>
          <w:marRight w:val="0"/>
          <w:marTop w:val="115"/>
          <w:marBottom w:val="0"/>
          <w:divBdr>
            <w:top w:val="none" w:sz="0" w:space="0" w:color="auto"/>
            <w:left w:val="none" w:sz="0" w:space="0" w:color="auto"/>
            <w:bottom w:val="none" w:sz="0" w:space="0" w:color="auto"/>
            <w:right w:val="none" w:sz="0" w:space="0" w:color="auto"/>
          </w:divBdr>
        </w:div>
        <w:div w:id="120542133">
          <w:marLeft w:val="1800"/>
          <w:marRight w:val="0"/>
          <w:marTop w:val="96"/>
          <w:marBottom w:val="0"/>
          <w:divBdr>
            <w:top w:val="none" w:sz="0" w:space="0" w:color="auto"/>
            <w:left w:val="none" w:sz="0" w:space="0" w:color="auto"/>
            <w:bottom w:val="none" w:sz="0" w:space="0" w:color="auto"/>
            <w:right w:val="none" w:sz="0" w:space="0" w:color="auto"/>
          </w:divBdr>
        </w:div>
        <w:div w:id="2099909960">
          <w:marLeft w:val="1800"/>
          <w:marRight w:val="0"/>
          <w:marTop w:val="96"/>
          <w:marBottom w:val="0"/>
          <w:divBdr>
            <w:top w:val="none" w:sz="0" w:space="0" w:color="auto"/>
            <w:left w:val="none" w:sz="0" w:space="0" w:color="auto"/>
            <w:bottom w:val="none" w:sz="0" w:space="0" w:color="auto"/>
            <w:right w:val="none" w:sz="0" w:space="0" w:color="auto"/>
          </w:divBdr>
        </w:div>
        <w:div w:id="1881353834">
          <w:marLeft w:val="1800"/>
          <w:marRight w:val="0"/>
          <w:marTop w:val="96"/>
          <w:marBottom w:val="0"/>
          <w:divBdr>
            <w:top w:val="none" w:sz="0" w:space="0" w:color="auto"/>
            <w:left w:val="none" w:sz="0" w:space="0" w:color="auto"/>
            <w:bottom w:val="none" w:sz="0" w:space="0" w:color="auto"/>
            <w:right w:val="none" w:sz="0" w:space="0" w:color="auto"/>
          </w:divBdr>
        </w:div>
      </w:divsChild>
    </w:div>
    <w:div w:id="588778435">
      <w:bodyDiv w:val="1"/>
      <w:marLeft w:val="0"/>
      <w:marRight w:val="0"/>
      <w:marTop w:val="0"/>
      <w:marBottom w:val="0"/>
      <w:divBdr>
        <w:top w:val="none" w:sz="0" w:space="0" w:color="auto"/>
        <w:left w:val="none" w:sz="0" w:space="0" w:color="auto"/>
        <w:bottom w:val="none" w:sz="0" w:space="0" w:color="auto"/>
        <w:right w:val="none" w:sz="0" w:space="0" w:color="auto"/>
      </w:divBdr>
      <w:divsChild>
        <w:div w:id="1669942939">
          <w:marLeft w:val="1166"/>
          <w:marRight w:val="0"/>
          <w:marTop w:val="106"/>
          <w:marBottom w:val="0"/>
          <w:divBdr>
            <w:top w:val="none" w:sz="0" w:space="0" w:color="auto"/>
            <w:left w:val="none" w:sz="0" w:space="0" w:color="auto"/>
            <w:bottom w:val="none" w:sz="0" w:space="0" w:color="auto"/>
            <w:right w:val="none" w:sz="0" w:space="0" w:color="auto"/>
          </w:divBdr>
        </w:div>
      </w:divsChild>
    </w:div>
    <w:div w:id="623268827">
      <w:bodyDiv w:val="1"/>
      <w:marLeft w:val="0"/>
      <w:marRight w:val="0"/>
      <w:marTop w:val="0"/>
      <w:marBottom w:val="0"/>
      <w:divBdr>
        <w:top w:val="none" w:sz="0" w:space="0" w:color="auto"/>
        <w:left w:val="none" w:sz="0" w:space="0" w:color="auto"/>
        <w:bottom w:val="none" w:sz="0" w:space="0" w:color="auto"/>
        <w:right w:val="none" w:sz="0" w:space="0" w:color="auto"/>
      </w:divBdr>
      <w:divsChild>
        <w:div w:id="656421353">
          <w:marLeft w:val="547"/>
          <w:marRight w:val="0"/>
          <w:marTop w:val="130"/>
          <w:marBottom w:val="0"/>
          <w:divBdr>
            <w:top w:val="none" w:sz="0" w:space="0" w:color="auto"/>
            <w:left w:val="none" w:sz="0" w:space="0" w:color="auto"/>
            <w:bottom w:val="none" w:sz="0" w:space="0" w:color="auto"/>
            <w:right w:val="none" w:sz="0" w:space="0" w:color="auto"/>
          </w:divBdr>
        </w:div>
        <w:div w:id="1614481803">
          <w:marLeft w:val="1166"/>
          <w:marRight w:val="0"/>
          <w:marTop w:val="115"/>
          <w:marBottom w:val="0"/>
          <w:divBdr>
            <w:top w:val="none" w:sz="0" w:space="0" w:color="auto"/>
            <w:left w:val="none" w:sz="0" w:space="0" w:color="auto"/>
            <w:bottom w:val="none" w:sz="0" w:space="0" w:color="auto"/>
            <w:right w:val="none" w:sz="0" w:space="0" w:color="auto"/>
          </w:divBdr>
        </w:div>
        <w:div w:id="663166356">
          <w:marLeft w:val="1166"/>
          <w:marRight w:val="0"/>
          <w:marTop w:val="115"/>
          <w:marBottom w:val="0"/>
          <w:divBdr>
            <w:top w:val="none" w:sz="0" w:space="0" w:color="auto"/>
            <w:left w:val="none" w:sz="0" w:space="0" w:color="auto"/>
            <w:bottom w:val="none" w:sz="0" w:space="0" w:color="auto"/>
            <w:right w:val="none" w:sz="0" w:space="0" w:color="auto"/>
          </w:divBdr>
        </w:div>
        <w:div w:id="190069539">
          <w:marLeft w:val="547"/>
          <w:marRight w:val="0"/>
          <w:marTop w:val="130"/>
          <w:marBottom w:val="0"/>
          <w:divBdr>
            <w:top w:val="none" w:sz="0" w:space="0" w:color="auto"/>
            <w:left w:val="none" w:sz="0" w:space="0" w:color="auto"/>
            <w:bottom w:val="none" w:sz="0" w:space="0" w:color="auto"/>
            <w:right w:val="none" w:sz="0" w:space="0" w:color="auto"/>
          </w:divBdr>
        </w:div>
        <w:div w:id="1073815294">
          <w:marLeft w:val="1166"/>
          <w:marRight w:val="0"/>
          <w:marTop w:val="115"/>
          <w:marBottom w:val="0"/>
          <w:divBdr>
            <w:top w:val="none" w:sz="0" w:space="0" w:color="auto"/>
            <w:left w:val="none" w:sz="0" w:space="0" w:color="auto"/>
            <w:bottom w:val="none" w:sz="0" w:space="0" w:color="auto"/>
            <w:right w:val="none" w:sz="0" w:space="0" w:color="auto"/>
          </w:divBdr>
        </w:div>
        <w:div w:id="2113669602">
          <w:marLeft w:val="1166"/>
          <w:marRight w:val="0"/>
          <w:marTop w:val="115"/>
          <w:marBottom w:val="0"/>
          <w:divBdr>
            <w:top w:val="none" w:sz="0" w:space="0" w:color="auto"/>
            <w:left w:val="none" w:sz="0" w:space="0" w:color="auto"/>
            <w:bottom w:val="none" w:sz="0" w:space="0" w:color="auto"/>
            <w:right w:val="none" w:sz="0" w:space="0" w:color="auto"/>
          </w:divBdr>
        </w:div>
      </w:divsChild>
    </w:div>
    <w:div w:id="745415850">
      <w:bodyDiv w:val="1"/>
      <w:marLeft w:val="0"/>
      <w:marRight w:val="0"/>
      <w:marTop w:val="0"/>
      <w:marBottom w:val="0"/>
      <w:divBdr>
        <w:top w:val="none" w:sz="0" w:space="0" w:color="auto"/>
        <w:left w:val="none" w:sz="0" w:space="0" w:color="auto"/>
        <w:bottom w:val="none" w:sz="0" w:space="0" w:color="auto"/>
        <w:right w:val="none" w:sz="0" w:space="0" w:color="auto"/>
      </w:divBdr>
      <w:divsChild>
        <w:div w:id="975912202">
          <w:marLeft w:val="547"/>
          <w:marRight w:val="0"/>
          <w:marTop w:val="144"/>
          <w:marBottom w:val="0"/>
          <w:divBdr>
            <w:top w:val="none" w:sz="0" w:space="0" w:color="auto"/>
            <w:left w:val="none" w:sz="0" w:space="0" w:color="auto"/>
            <w:bottom w:val="none" w:sz="0" w:space="0" w:color="auto"/>
            <w:right w:val="none" w:sz="0" w:space="0" w:color="auto"/>
          </w:divBdr>
        </w:div>
        <w:div w:id="1647582793">
          <w:marLeft w:val="1166"/>
          <w:marRight w:val="0"/>
          <w:marTop w:val="144"/>
          <w:marBottom w:val="0"/>
          <w:divBdr>
            <w:top w:val="none" w:sz="0" w:space="0" w:color="auto"/>
            <w:left w:val="none" w:sz="0" w:space="0" w:color="auto"/>
            <w:bottom w:val="none" w:sz="0" w:space="0" w:color="auto"/>
            <w:right w:val="none" w:sz="0" w:space="0" w:color="auto"/>
          </w:divBdr>
        </w:div>
        <w:div w:id="1245065340">
          <w:marLeft w:val="547"/>
          <w:marRight w:val="0"/>
          <w:marTop w:val="144"/>
          <w:marBottom w:val="0"/>
          <w:divBdr>
            <w:top w:val="none" w:sz="0" w:space="0" w:color="auto"/>
            <w:left w:val="none" w:sz="0" w:space="0" w:color="auto"/>
            <w:bottom w:val="none" w:sz="0" w:space="0" w:color="auto"/>
            <w:right w:val="none" w:sz="0" w:space="0" w:color="auto"/>
          </w:divBdr>
        </w:div>
        <w:div w:id="152794298">
          <w:marLeft w:val="547"/>
          <w:marRight w:val="0"/>
          <w:marTop w:val="144"/>
          <w:marBottom w:val="0"/>
          <w:divBdr>
            <w:top w:val="none" w:sz="0" w:space="0" w:color="auto"/>
            <w:left w:val="none" w:sz="0" w:space="0" w:color="auto"/>
            <w:bottom w:val="none" w:sz="0" w:space="0" w:color="auto"/>
            <w:right w:val="none" w:sz="0" w:space="0" w:color="auto"/>
          </w:divBdr>
        </w:div>
        <w:div w:id="1084566181">
          <w:marLeft w:val="547"/>
          <w:marRight w:val="0"/>
          <w:marTop w:val="144"/>
          <w:marBottom w:val="0"/>
          <w:divBdr>
            <w:top w:val="none" w:sz="0" w:space="0" w:color="auto"/>
            <w:left w:val="none" w:sz="0" w:space="0" w:color="auto"/>
            <w:bottom w:val="none" w:sz="0" w:space="0" w:color="auto"/>
            <w:right w:val="none" w:sz="0" w:space="0" w:color="auto"/>
          </w:divBdr>
        </w:div>
        <w:div w:id="90442243">
          <w:marLeft w:val="547"/>
          <w:marRight w:val="0"/>
          <w:marTop w:val="149"/>
          <w:marBottom w:val="0"/>
          <w:divBdr>
            <w:top w:val="none" w:sz="0" w:space="0" w:color="auto"/>
            <w:left w:val="none" w:sz="0" w:space="0" w:color="auto"/>
            <w:bottom w:val="none" w:sz="0" w:space="0" w:color="auto"/>
            <w:right w:val="none" w:sz="0" w:space="0" w:color="auto"/>
          </w:divBdr>
        </w:div>
      </w:divsChild>
    </w:div>
    <w:div w:id="851724263">
      <w:bodyDiv w:val="1"/>
      <w:marLeft w:val="0"/>
      <w:marRight w:val="0"/>
      <w:marTop w:val="0"/>
      <w:marBottom w:val="0"/>
      <w:divBdr>
        <w:top w:val="none" w:sz="0" w:space="0" w:color="auto"/>
        <w:left w:val="none" w:sz="0" w:space="0" w:color="auto"/>
        <w:bottom w:val="none" w:sz="0" w:space="0" w:color="auto"/>
        <w:right w:val="none" w:sz="0" w:space="0" w:color="auto"/>
      </w:divBdr>
    </w:div>
    <w:div w:id="1012410704">
      <w:bodyDiv w:val="1"/>
      <w:marLeft w:val="0"/>
      <w:marRight w:val="0"/>
      <w:marTop w:val="0"/>
      <w:marBottom w:val="0"/>
      <w:divBdr>
        <w:top w:val="none" w:sz="0" w:space="0" w:color="auto"/>
        <w:left w:val="none" w:sz="0" w:space="0" w:color="auto"/>
        <w:bottom w:val="none" w:sz="0" w:space="0" w:color="auto"/>
        <w:right w:val="none" w:sz="0" w:space="0" w:color="auto"/>
      </w:divBdr>
      <w:divsChild>
        <w:div w:id="728652918">
          <w:marLeft w:val="1166"/>
          <w:marRight w:val="0"/>
          <w:marTop w:val="115"/>
          <w:marBottom w:val="0"/>
          <w:divBdr>
            <w:top w:val="none" w:sz="0" w:space="0" w:color="auto"/>
            <w:left w:val="none" w:sz="0" w:space="0" w:color="auto"/>
            <w:bottom w:val="none" w:sz="0" w:space="0" w:color="auto"/>
            <w:right w:val="none" w:sz="0" w:space="0" w:color="auto"/>
          </w:divBdr>
        </w:div>
      </w:divsChild>
    </w:div>
    <w:div w:id="1084381964">
      <w:bodyDiv w:val="1"/>
      <w:marLeft w:val="0"/>
      <w:marRight w:val="0"/>
      <w:marTop w:val="0"/>
      <w:marBottom w:val="0"/>
      <w:divBdr>
        <w:top w:val="none" w:sz="0" w:space="0" w:color="auto"/>
        <w:left w:val="none" w:sz="0" w:space="0" w:color="auto"/>
        <w:bottom w:val="none" w:sz="0" w:space="0" w:color="auto"/>
        <w:right w:val="none" w:sz="0" w:space="0" w:color="auto"/>
      </w:divBdr>
      <w:divsChild>
        <w:div w:id="1029526770">
          <w:marLeft w:val="547"/>
          <w:marRight w:val="0"/>
          <w:marTop w:val="144"/>
          <w:marBottom w:val="0"/>
          <w:divBdr>
            <w:top w:val="none" w:sz="0" w:space="0" w:color="auto"/>
            <w:left w:val="none" w:sz="0" w:space="0" w:color="auto"/>
            <w:bottom w:val="none" w:sz="0" w:space="0" w:color="auto"/>
            <w:right w:val="none" w:sz="0" w:space="0" w:color="auto"/>
          </w:divBdr>
        </w:div>
        <w:div w:id="819687596">
          <w:marLeft w:val="1166"/>
          <w:marRight w:val="0"/>
          <w:marTop w:val="125"/>
          <w:marBottom w:val="0"/>
          <w:divBdr>
            <w:top w:val="none" w:sz="0" w:space="0" w:color="auto"/>
            <w:left w:val="none" w:sz="0" w:space="0" w:color="auto"/>
            <w:bottom w:val="none" w:sz="0" w:space="0" w:color="auto"/>
            <w:right w:val="none" w:sz="0" w:space="0" w:color="auto"/>
          </w:divBdr>
        </w:div>
        <w:div w:id="929891257">
          <w:marLeft w:val="1800"/>
          <w:marRight w:val="0"/>
          <w:marTop w:val="106"/>
          <w:marBottom w:val="0"/>
          <w:divBdr>
            <w:top w:val="none" w:sz="0" w:space="0" w:color="auto"/>
            <w:left w:val="none" w:sz="0" w:space="0" w:color="auto"/>
            <w:bottom w:val="none" w:sz="0" w:space="0" w:color="auto"/>
            <w:right w:val="none" w:sz="0" w:space="0" w:color="auto"/>
          </w:divBdr>
        </w:div>
        <w:div w:id="124390931">
          <w:marLeft w:val="1800"/>
          <w:marRight w:val="0"/>
          <w:marTop w:val="106"/>
          <w:marBottom w:val="0"/>
          <w:divBdr>
            <w:top w:val="none" w:sz="0" w:space="0" w:color="auto"/>
            <w:left w:val="none" w:sz="0" w:space="0" w:color="auto"/>
            <w:bottom w:val="none" w:sz="0" w:space="0" w:color="auto"/>
            <w:right w:val="none" w:sz="0" w:space="0" w:color="auto"/>
          </w:divBdr>
        </w:div>
        <w:div w:id="1926497182">
          <w:marLeft w:val="1166"/>
          <w:marRight w:val="0"/>
          <w:marTop w:val="125"/>
          <w:marBottom w:val="0"/>
          <w:divBdr>
            <w:top w:val="none" w:sz="0" w:space="0" w:color="auto"/>
            <w:left w:val="none" w:sz="0" w:space="0" w:color="auto"/>
            <w:bottom w:val="none" w:sz="0" w:space="0" w:color="auto"/>
            <w:right w:val="none" w:sz="0" w:space="0" w:color="auto"/>
          </w:divBdr>
        </w:div>
        <w:div w:id="1546988871">
          <w:marLeft w:val="1800"/>
          <w:marRight w:val="0"/>
          <w:marTop w:val="106"/>
          <w:marBottom w:val="0"/>
          <w:divBdr>
            <w:top w:val="none" w:sz="0" w:space="0" w:color="auto"/>
            <w:left w:val="none" w:sz="0" w:space="0" w:color="auto"/>
            <w:bottom w:val="none" w:sz="0" w:space="0" w:color="auto"/>
            <w:right w:val="none" w:sz="0" w:space="0" w:color="auto"/>
          </w:divBdr>
        </w:div>
        <w:div w:id="713306978">
          <w:marLeft w:val="1166"/>
          <w:marRight w:val="0"/>
          <w:marTop w:val="125"/>
          <w:marBottom w:val="0"/>
          <w:divBdr>
            <w:top w:val="none" w:sz="0" w:space="0" w:color="auto"/>
            <w:left w:val="none" w:sz="0" w:space="0" w:color="auto"/>
            <w:bottom w:val="none" w:sz="0" w:space="0" w:color="auto"/>
            <w:right w:val="none" w:sz="0" w:space="0" w:color="auto"/>
          </w:divBdr>
        </w:div>
      </w:divsChild>
    </w:div>
    <w:div w:id="1121267833">
      <w:bodyDiv w:val="1"/>
      <w:marLeft w:val="0"/>
      <w:marRight w:val="0"/>
      <w:marTop w:val="0"/>
      <w:marBottom w:val="0"/>
      <w:divBdr>
        <w:top w:val="none" w:sz="0" w:space="0" w:color="auto"/>
        <w:left w:val="none" w:sz="0" w:space="0" w:color="auto"/>
        <w:bottom w:val="none" w:sz="0" w:space="0" w:color="auto"/>
        <w:right w:val="none" w:sz="0" w:space="0" w:color="auto"/>
      </w:divBdr>
      <w:divsChild>
        <w:div w:id="330106911">
          <w:marLeft w:val="547"/>
          <w:marRight w:val="0"/>
          <w:marTop w:val="154"/>
          <w:marBottom w:val="0"/>
          <w:divBdr>
            <w:top w:val="none" w:sz="0" w:space="0" w:color="auto"/>
            <w:left w:val="none" w:sz="0" w:space="0" w:color="auto"/>
            <w:bottom w:val="none" w:sz="0" w:space="0" w:color="auto"/>
            <w:right w:val="none" w:sz="0" w:space="0" w:color="auto"/>
          </w:divBdr>
        </w:div>
        <w:div w:id="1156728344">
          <w:marLeft w:val="1166"/>
          <w:marRight w:val="0"/>
          <w:marTop w:val="134"/>
          <w:marBottom w:val="0"/>
          <w:divBdr>
            <w:top w:val="none" w:sz="0" w:space="0" w:color="auto"/>
            <w:left w:val="none" w:sz="0" w:space="0" w:color="auto"/>
            <w:bottom w:val="none" w:sz="0" w:space="0" w:color="auto"/>
            <w:right w:val="none" w:sz="0" w:space="0" w:color="auto"/>
          </w:divBdr>
        </w:div>
        <w:div w:id="495849526">
          <w:marLeft w:val="1800"/>
          <w:marRight w:val="0"/>
          <w:marTop w:val="115"/>
          <w:marBottom w:val="0"/>
          <w:divBdr>
            <w:top w:val="none" w:sz="0" w:space="0" w:color="auto"/>
            <w:left w:val="none" w:sz="0" w:space="0" w:color="auto"/>
            <w:bottom w:val="none" w:sz="0" w:space="0" w:color="auto"/>
            <w:right w:val="none" w:sz="0" w:space="0" w:color="auto"/>
          </w:divBdr>
        </w:div>
        <w:div w:id="1696230882">
          <w:marLeft w:val="1166"/>
          <w:marRight w:val="0"/>
          <w:marTop w:val="134"/>
          <w:marBottom w:val="0"/>
          <w:divBdr>
            <w:top w:val="none" w:sz="0" w:space="0" w:color="auto"/>
            <w:left w:val="none" w:sz="0" w:space="0" w:color="auto"/>
            <w:bottom w:val="none" w:sz="0" w:space="0" w:color="auto"/>
            <w:right w:val="none" w:sz="0" w:space="0" w:color="auto"/>
          </w:divBdr>
        </w:div>
        <w:div w:id="909315089">
          <w:marLeft w:val="1166"/>
          <w:marRight w:val="0"/>
          <w:marTop w:val="134"/>
          <w:marBottom w:val="0"/>
          <w:divBdr>
            <w:top w:val="none" w:sz="0" w:space="0" w:color="auto"/>
            <w:left w:val="none" w:sz="0" w:space="0" w:color="auto"/>
            <w:bottom w:val="none" w:sz="0" w:space="0" w:color="auto"/>
            <w:right w:val="none" w:sz="0" w:space="0" w:color="auto"/>
          </w:divBdr>
        </w:div>
        <w:div w:id="1654675922">
          <w:marLeft w:val="1166"/>
          <w:marRight w:val="0"/>
          <w:marTop w:val="134"/>
          <w:marBottom w:val="0"/>
          <w:divBdr>
            <w:top w:val="none" w:sz="0" w:space="0" w:color="auto"/>
            <w:left w:val="none" w:sz="0" w:space="0" w:color="auto"/>
            <w:bottom w:val="none" w:sz="0" w:space="0" w:color="auto"/>
            <w:right w:val="none" w:sz="0" w:space="0" w:color="auto"/>
          </w:divBdr>
        </w:div>
        <w:div w:id="158469725">
          <w:marLeft w:val="1166"/>
          <w:marRight w:val="0"/>
          <w:marTop w:val="134"/>
          <w:marBottom w:val="0"/>
          <w:divBdr>
            <w:top w:val="none" w:sz="0" w:space="0" w:color="auto"/>
            <w:left w:val="none" w:sz="0" w:space="0" w:color="auto"/>
            <w:bottom w:val="none" w:sz="0" w:space="0" w:color="auto"/>
            <w:right w:val="none" w:sz="0" w:space="0" w:color="auto"/>
          </w:divBdr>
        </w:div>
        <w:div w:id="49378647">
          <w:marLeft w:val="1166"/>
          <w:marRight w:val="0"/>
          <w:marTop w:val="134"/>
          <w:marBottom w:val="0"/>
          <w:divBdr>
            <w:top w:val="none" w:sz="0" w:space="0" w:color="auto"/>
            <w:left w:val="none" w:sz="0" w:space="0" w:color="auto"/>
            <w:bottom w:val="none" w:sz="0" w:space="0" w:color="auto"/>
            <w:right w:val="none" w:sz="0" w:space="0" w:color="auto"/>
          </w:divBdr>
        </w:div>
      </w:divsChild>
    </w:div>
    <w:div w:id="1257056840">
      <w:bodyDiv w:val="1"/>
      <w:marLeft w:val="0"/>
      <w:marRight w:val="0"/>
      <w:marTop w:val="0"/>
      <w:marBottom w:val="0"/>
      <w:divBdr>
        <w:top w:val="none" w:sz="0" w:space="0" w:color="auto"/>
        <w:left w:val="none" w:sz="0" w:space="0" w:color="auto"/>
        <w:bottom w:val="none" w:sz="0" w:space="0" w:color="auto"/>
        <w:right w:val="none" w:sz="0" w:space="0" w:color="auto"/>
      </w:divBdr>
      <w:divsChild>
        <w:div w:id="1649281165">
          <w:marLeft w:val="547"/>
          <w:marRight w:val="0"/>
          <w:marTop w:val="130"/>
          <w:marBottom w:val="0"/>
          <w:divBdr>
            <w:top w:val="none" w:sz="0" w:space="0" w:color="auto"/>
            <w:left w:val="none" w:sz="0" w:space="0" w:color="auto"/>
            <w:bottom w:val="none" w:sz="0" w:space="0" w:color="auto"/>
            <w:right w:val="none" w:sz="0" w:space="0" w:color="auto"/>
          </w:divBdr>
        </w:div>
        <w:div w:id="553548238">
          <w:marLeft w:val="547"/>
          <w:marRight w:val="0"/>
          <w:marTop w:val="130"/>
          <w:marBottom w:val="0"/>
          <w:divBdr>
            <w:top w:val="none" w:sz="0" w:space="0" w:color="auto"/>
            <w:left w:val="none" w:sz="0" w:space="0" w:color="auto"/>
            <w:bottom w:val="none" w:sz="0" w:space="0" w:color="auto"/>
            <w:right w:val="none" w:sz="0" w:space="0" w:color="auto"/>
          </w:divBdr>
        </w:div>
        <w:div w:id="510024905">
          <w:marLeft w:val="1166"/>
          <w:marRight w:val="0"/>
          <w:marTop w:val="115"/>
          <w:marBottom w:val="0"/>
          <w:divBdr>
            <w:top w:val="none" w:sz="0" w:space="0" w:color="auto"/>
            <w:left w:val="none" w:sz="0" w:space="0" w:color="auto"/>
            <w:bottom w:val="none" w:sz="0" w:space="0" w:color="auto"/>
            <w:right w:val="none" w:sz="0" w:space="0" w:color="auto"/>
          </w:divBdr>
        </w:div>
        <w:div w:id="359635">
          <w:marLeft w:val="1166"/>
          <w:marRight w:val="0"/>
          <w:marTop w:val="115"/>
          <w:marBottom w:val="0"/>
          <w:divBdr>
            <w:top w:val="none" w:sz="0" w:space="0" w:color="auto"/>
            <w:left w:val="none" w:sz="0" w:space="0" w:color="auto"/>
            <w:bottom w:val="none" w:sz="0" w:space="0" w:color="auto"/>
            <w:right w:val="none" w:sz="0" w:space="0" w:color="auto"/>
          </w:divBdr>
        </w:div>
        <w:div w:id="1013415208">
          <w:marLeft w:val="547"/>
          <w:marRight w:val="0"/>
          <w:marTop w:val="130"/>
          <w:marBottom w:val="0"/>
          <w:divBdr>
            <w:top w:val="none" w:sz="0" w:space="0" w:color="auto"/>
            <w:left w:val="none" w:sz="0" w:space="0" w:color="auto"/>
            <w:bottom w:val="none" w:sz="0" w:space="0" w:color="auto"/>
            <w:right w:val="none" w:sz="0" w:space="0" w:color="auto"/>
          </w:divBdr>
        </w:div>
        <w:div w:id="601765802">
          <w:marLeft w:val="1166"/>
          <w:marRight w:val="0"/>
          <w:marTop w:val="115"/>
          <w:marBottom w:val="0"/>
          <w:divBdr>
            <w:top w:val="none" w:sz="0" w:space="0" w:color="auto"/>
            <w:left w:val="none" w:sz="0" w:space="0" w:color="auto"/>
            <w:bottom w:val="none" w:sz="0" w:space="0" w:color="auto"/>
            <w:right w:val="none" w:sz="0" w:space="0" w:color="auto"/>
          </w:divBdr>
        </w:div>
        <w:div w:id="250822182">
          <w:marLeft w:val="1166"/>
          <w:marRight w:val="0"/>
          <w:marTop w:val="115"/>
          <w:marBottom w:val="0"/>
          <w:divBdr>
            <w:top w:val="none" w:sz="0" w:space="0" w:color="auto"/>
            <w:left w:val="none" w:sz="0" w:space="0" w:color="auto"/>
            <w:bottom w:val="none" w:sz="0" w:space="0" w:color="auto"/>
            <w:right w:val="none" w:sz="0" w:space="0" w:color="auto"/>
          </w:divBdr>
        </w:div>
      </w:divsChild>
    </w:div>
    <w:div w:id="1327635412">
      <w:bodyDiv w:val="1"/>
      <w:marLeft w:val="0"/>
      <w:marRight w:val="0"/>
      <w:marTop w:val="0"/>
      <w:marBottom w:val="0"/>
      <w:divBdr>
        <w:top w:val="none" w:sz="0" w:space="0" w:color="auto"/>
        <w:left w:val="none" w:sz="0" w:space="0" w:color="auto"/>
        <w:bottom w:val="none" w:sz="0" w:space="0" w:color="auto"/>
        <w:right w:val="none" w:sz="0" w:space="0" w:color="auto"/>
      </w:divBdr>
      <w:divsChild>
        <w:div w:id="270207689">
          <w:marLeft w:val="1166"/>
          <w:marRight w:val="0"/>
          <w:marTop w:val="115"/>
          <w:marBottom w:val="0"/>
          <w:divBdr>
            <w:top w:val="none" w:sz="0" w:space="0" w:color="auto"/>
            <w:left w:val="none" w:sz="0" w:space="0" w:color="auto"/>
            <w:bottom w:val="none" w:sz="0" w:space="0" w:color="auto"/>
            <w:right w:val="none" w:sz="0" w:space="0" w:color="auto"/>
          </w:divBdr>
        </w:div>
      </w:divsChild>
    </w:div>
    <w:div w:id="1493791723">
      <w:bodyDiv w:val="1"/>
      <w:marLeft w:val="0"/>
      <w:marRight w:val="0"/>
      <w:marTop w:val="0"/>
      <w:marBottom w:val="0"/>
      <w:divBdr>
        <w:top w:val="none" w:sz="0" w:space="0" w:color="auto"/>
        <w:left w:val="none" w:sz="0" w:space="0" w:color="auto"/>
        <w:bottom w:val="none" w:sz="0" w:space="0" w:color="auto"/>
        <w:right w:val="none" w:sz="0" w:space="0" w:color="auto"/>
      </w:divBdr>
      <w:divsChild>
        <w:div w:id="1541555247">
          <w:marLeft w:val="547"/>
          <w:marRight w:val="0"/>
          <w:marTop w:val="91"/>
          <w:marBottom w:val="0"/>
          <w:divBdr>
            <w:top w:val="none" w:sz="0" w:space="0" w:color="auto"/>
            <w:left w:val="none" w:sz="0" w:space="0" w:color="auto"/>
            <w:bottom w:val="none" w:sz="0" w:space="0" w:color="auto"/>
            <w:right w:val="none" w:sz="0" w:space="0" w:color="auto"/>
          </w:divBdr>
        </w:div>
        <w:div w:id="1895385837">
          <w:marLeft w:val="1166"/>
          <w:marRight w:val="0"/>
          <w:marTop w:val="72"/>
          <w:marBottom w:val="0"/>
          <w:divBdr>
            <w:top w:val="none" w:sz="0" w:space="0" w:color="auto"/>
            <w:left w:val="none" w:sz="0" w:space="0" w:color="auto"/>
            <w:bottom w:val="none" w:sz="0" w:space="0" w:color="auto"/>
            <w:right w:val="none" w:sz="0" w:space="0" w:color="auto"/>
          </w:divBdr>
        </w:div>
        <w:div w:id="1619411413">
          <w:marLeft w:val="1166"/>
          <w:marRight w:val="0"/>
          <w:marTop w:val="72"/>
          <w:marBottom w:val="0"/>
          <w:divBdr>
            <w:top w:val="none" w:sz="0" w:space="0" w:color="auto"/>
            <w:left w:val="none" w:sz="0" w:space="0" w:color="auto"/>
            <w:bottom w:val="none" w:sz="0" w:space="0" w:color="auto"/>
            <w:right w:val="none" w:sz="0" w:space="0" w:color="auto"/>
          </w:divBdr>
        </w:div>
        <w:div w:id="1561942096">
          <w:marLeft w:val="1166"/>
          <w:marRight w:val="0"/>
          <w:marTop w:val="72"/>
          <w:marBottom w:val="0"/>
          <w:divBdr>
            <w:top w:val="none" w:sz="0" w:space="0" w:color="auto"/>
            <w:left w:val="none" w:sz="0" w:space="0" w:color="auto"/>
            <w:bottom w:val="none" w:sz="0" w:space="0" w:color="auto"/>
            <w:right w:val="none" w:sz="0" w:space="0" w:color="auto"/>
          </w:divBdr>
        </w:div>
        <w:div w:id="1074088894">
          <w:marLeft w:val="1166"/>
          <w:marRight w:val="0"/>
          <w:marTop w:val="72"/>
          <w:marBottom w:val="0"/>
          <w:divBdr>
            <w:top w:val="none" w:sz="0" w:space="0" w:color="auto"/>
            <w:left w:val="none" w:sz="0" w:space="0" w:color="auto"/>
            <w:bottom w:val="none" w:sz="0" w:space="0" w:color="auto"/>
            <w:right w:val="none" w:sz="0" w:space="0" w:color="auto"/>
          </w:divBdr>
        </w:div>
        <w:div w:id="1618028441">
          <w:marLeft w:val="1800"/>
          <w:marRight w:val="0"/>
          <w:marTop w:val="72"/>
          <w:marBottom w:val="0"/>
          <w:divBdr>
            <w:top w:val="none" w:sz="0" w:space="0" w:color="auto"/>
            <w:left w:val="none" w:sz="0" w:space="0" w:color="auto"/>
            <w:bottom w:val="none" w:sz="0" w:space="0" w:color="auto"/>
            <w:right w:val="none" w:sz="0" w:space="0" w:color="auto"/>
          </w:divBdr>
        </w:div>
        <w:div w:id="581455150">
          <w:marLeft w:val="1800"/>
          <w:marRight w:val="0"/>
          <w:marTop w:val="72"/>
          <w:marBottom w:val="0"/>
          <w:divBdr>
            <w:top w:val="none" w:sz="0" w:space="0" w:color="auto"/>
            <w:left w:val="none" w:sz="0" w:space="0" w:color="auto"/>
            <w:bottom w:val="none" w:sz="0" w:space="0" w:color="auto"/>
            <w:right w:val="none" w:sz="0" w:space="0" w:color="auto"/>
          </w:divBdr>
        </w:div>
        <w:div w:id="289169161">
          <w:marLeft w:val="547"/>
          <w:marRight w:val="0"/>
          <w:marTop w:val="91"/>
          <w:marBottom w:val="0"/>
          <w:divBdr>
            <w:top w:val="none" w:sz="0" w:space="0" w:color="auto"/>
            <w:left w:val="none" w:sz="0" w:space="0" w:color="auto"/>
            <w:bottom w:val="none" w:sz="0" w:space="0" w:color="auto"/>
            <w:right w:val="none" w:sz="0" w:space="0" w:color="auto"/>
          </w:divBdr>
        </w:div>
        <w:div w:id="927925874">
          <w:marLeft w:val="547"/>
          <w:marRight w:val="0"/>
          <w:marTop w:val="91"/>
          <w:marBottom w:val="0"/>
          <w:divBdr>
            <w:top w:val="none" w:sz="0" w:space="0" w:color="auto"/>
            <w:left w:val="none" w:sz="0" w:space="0" w:color="auto"/>
            <w:bottom w:val="none" w:sz="0" w:space="0" w:color="auto"/>
            <w:right w:val="none" w:sz="0" w:space="0" w:color="auto"/>
          </w:divBdr>
        </w:div>
        <w:div w:id="260186606">
          <w:marLeft w:val="1166"/>
          <w:marRight w:val="0"/>
          <w:marTop w:val="72"/>
          <w:marBottom w:val="0"/>
          <w:divBdr>
            <w:top w:val="none" w:sz="0" w:space="0" w:color="auto"/>
            <w:left w:val="none" w:sz="0" w:space="0" w:color="auto"/>
            <w:bottom w:val="none" w:sz="0" w:space="0" w:color="auto"/>
            <w:right w:val="none" w:sz="0" w:space="0" w:color="auto"/>
          </w:divBdr>
        </w:div>
        <w:div w:id="2009356637">
          <w:marLeft w:val="1800"/>
          <w:marRight w:val="0"/>
          <w:marTop w:val="62"/>
          <w:marBottom w:val="0"/>
          <w:divBdr>
            <w:top w:val="none" w:sz="0" w:space="0" w:color="auto"/>
            <w:left w:val="none" w:sz="0" w:space="0" w:color="auto"/>
            <w:bottom w:val="none" w:sz="0" w:space="0" w:color="auto"/>
            <w:right w:val="none" w:sz="0" w:space="0" w:color="auto"/>
          </w:divBdr>
        </w:div>
        <w:div w:id="1091900081">
          <w:marLeft w:val="1800"/>
          <w:marRight w:val="0"/>
          <w:marTop w:val="62"/>
          <w:marBottom w:val="0"/>
          <w:divBdr>
            <w:top w:val="none" w:sz="0" w:space="0" w:color="auto"/>
            <w:left w:val="none" w:sz="0" w:space="0" w:color="auto"/>
            <w:bottom w:val="none" w:sz="0" w:space="0" w:color="auto"/>
            <w:right w:val="none" w:sz="0" w:space="0" w:color="auto"/>
          </w:divBdr>
        </w:div>
        <w:div w:id="838273780">
          <w:marLeft w:val="1166"/>
          <w:marRight w:val="0"/>
          <w:marTop w:val="72"/>
          <w:marBottom w:val="0"/>
          <w:divBdr>
            <w:top w:val="none" w:sz="0" w:space="0" w:color="auto"/>
            <w:left w:val="none" w:sz="0" w:space="0" w:color="auto"/>
            <w:bottom w:val="none" w:sz="0" w:space="0" w:color="auto"/>
            <w:right w:val="none" w:sz="0" w:space="0" w:color="auto"/>
          </w:divBdr>
        </w:div>
        <w:div w:id="127206140">
          <w:marLeft w:val="1800"/>
          <w:marRight w:val="0"/>
          <w:marTop w:val="62"/>
          <w:marBottom w:val="0"/>
          <w:divBdr>
            <w:top w:val="none" w:sz="0" w:space="0" w:color="auto"/>
            <w:left w:val="none" w:sz="0" w:space="0" w:color="auto"/>
            <w:bottom w:val="none" w:sz="0" w:space="0" w:color="auto"/>
            <w:right w:val="none" w:sz="0" w:space="0" w:color="auto"/>
          </w:divBdr>
        </w:div>
        <w:div w:id="1105421416">
          <w:marLeft w:val="1800"/>
          <w:marRight w:val="0"/>
          <w:marTop w:val="62"/>
          <w:marBottom w:val="0"/>
          <w:divBdr>
            <w:top w:val="none" w:sz="0" w:space="0" w:color="auto"/>
            <w:left w:val="none" w:sz="0" w:space="0" w:color="auto"/>
            <w:bottom w:val="none" w:sz="0" w:space="0" w:color="auto"/>
            <w:right w:val="none" w:sz="0" w:space="0" w:color="auto"/>
          </w:divBdr>
        </w:div>
        <w:div w:id="50737121">
          <w:marLeft w:val="1800"/>
          <w:marRight w:val="0"/>
          <w:marTop w:val="62"/>
          <w:marBottom w:val="0"/>
          <w:divBdr>
            <w:top w:val="none" w:sz="0" w:space="0" w:color="auto"/>
            <w:left w:val="none" w:sz="0" w:space="0" w:color="auto"/>
            <w:bottom w:val="none" w:sz="0" w:space="0" w:color="auto"/>
            <w:right w:val="none" w:sz="0" w:space="0" w:color="auto"/>
          </w:divBdr>
        </w:div>
        <w:div w:id="362901097">
          <w:marLeft w:val="1166"/>
          <w:marRight w:val="0"/>
          <w:marTop w:val="72"/>
          <w:marBottom w:val="0"/>
          <w:divBdr>
            <w:top w:val="none" w:sz="0" w:space="0" w:color="auto"/>
            <w:left w:val="none" w:sz="0" w:space="0" w:color="auto"/>
            <w:bottom w:val="none" w:sz="0" w:space="0" w:color="auto"/>
            <w:right w:val="none" w:sz="0" w:space="0" w:color="auto"/>
          </w:divBdr>
        </w:div>
        <w:div w:id="1082601127">
          <w:marLeft w:val="1800"/>
          <w:marRight w:val="0"/>
          <w:marTop w:val="62"/>
          <w:marBottom w:val="0"/>
          <w:divBdr>
            <w:top w:val="none" w:sz="0" w:space="0" w:color="auto"/>
            <w:left w:val="none" w:sz="0" w:space="0" w:color="auto"/>
            <w:bottom w:val="none" w:sz="0" w:space="0" w:color="auto"/>
            <w:right w:val="none" w:sz="0" w:space="0" w:color="auto"/>
          </w:divBdr>
        </w:div>
        <w:div w:id="343628380">
          <w:marLeft w:val="1166"/>
          <w:marRight w:val="0"/>
          <w:marTop w:val="72"/>
          <w:marBottom w:val="0"/>
          <w:divBdr>
            <w:top w:val="none" w:sz="0" w:space="0" w:color="auto"/>
            <w:left w:val="none" w:sz="0" w:space="0" w:color="auto"/>
            <w:bottom w:val="none" w:sz="0" w:space="0" w:color="auto"/>
            <w:right w:val="none" w:sz="0" w:space="0" w:color="auto"/>
          </w:divBdr>
        </w:div>
        <w:div w:id="823007793">
          <w:marLeft w:val="1800"/>
          <w:marRight w:val="0"/>
          <w:marTop w:val="62"/>
          <w:marBottom w:val="0"/>
          <w:divBdr>
            <w:top w:val="none" w:sz="0" w:space="0" w:color="auto"/>
            <w:left w:val="none" w:sz="0" w:space="0" w:color="auto"/>
            <w:bottom w:val="none" w:sz="0" w:space="0" w:color="auto"/>
            <w:right w:val="none" w:sz="0" w:space="0" w:color="auto"/>
          </w:divBdr>
        </w:div>
      </w:divsChild>
    </w:div>
    <w:div w:id="1736510768">
      <w:bodyDiv w:val="1"/>
      <w:marLeft w:val="0"/>
      <w:marRight w:val="0"/>
      <w:marTop w:val="0"/>
      <w:marBottom w:val="0"/>
      <w:divBdr>
        <w:top w:val="none" w:sz="0" w:space="0" w:color="auto"/>
        <w:left w:val="none" w:sz="0" w:space="0" w:color="auto"/>
        <w:bottom w:val="none" w:sz="0" w:space="0" w:color="auto"/>
        <w:right w:val="none" w:sz="0" w:space="0" w:color="auto"/>
      </w:divBdr>
      <w:divsChild>
        <w:div w:id="188034556">
          <w:marLeft w:val="547"/>
          <w:marRight w:val="0"/>
          <w:marTop w:val="120"/>
          <w:marBottom w:val="0"/>
          <w:divBdr>
            <w:top w:val="none" w:sz="0" w:space="0" w:color="auto"/>
            <w:left w:val="none" w:sz="0" w:space="0" w:color="auto"/>
            <w:bottom w:val="none" w:sz="0" w:space="0" w:color="auto"/>
            <w:right w:val="none" w:sz="0" w:space="0" w:color="auto"/>
          </w:divBdr>
        </w:div>
        <w:div w:id="2109539863">
          <w:marLeft w:val="1166"/>
          <w:marRight w:val="0"/>
          <w:marTop w:val="106"/>
          <w:marBottom w:val="0"/>
          <w:divBdr>
            <w:top w:val="none" w:sz="0" w:space="0" w:color="auto"/>
            <w:left w:val="none" w:sz="0" w:space="0" w:color="auto"/>
            <w:bottom w:val="none" w:sz="0" w:space="0" w:color="auto"/>
            <w:right w:val="none" w:sz="0" w:space="0" w:color="auto"/>
          </w:divBdr>
        </w:div>
        <w:div w:id="93020140">
          <w:marLeft w:val="547"/>
          <w:marRight w:val="0"/>
          <w:marTop w:val="120"/>
          <w:marBottom w:val="0"/>
          <w:divBdr>
            <w:top w:val="none" w:sz="0" w:space="0" w:color="auto"/>
            <w:left w:val="none" w:sz="0" w:space="0" w:color="auto"/>
            <w:bottom w:val="none" w:sz="0" w:space="0" w:color="auto"/>
            <w:right w:val="none" w:sz="0" w:space="0" w:color="auto"/>
          </w:divBdr>
        </w:div>
        <w:div w:id="363404086">
          <w:marLeft w:val="1166"/>
          <w:marRight w:val="0"/>
          <w:marTop w:val="106"/>
          <w:marBottom w:val="0"/>
          <w:divBdr>
            <w:top w:val="none" w:sz="0" w:space="0" w:color="auto"/>
            <w:left w:val="none" w:sz="0" w:space="0" w:color="auto"/>
            <w:bottom w:val="none" w:sz="0" w:space="0" w:color="auto"/>
            <w:right w:val="none" w:sz="0" w:space="0" w:color="auto"/>
          </w:divBdr>
        </w:div>
        <w:div w:id="1535193391">
          <w:marLeft w:val="1166"/>
          <w:marRight w:val="0"/>
          <w:marTop w:val="106"/>
          <w:marBottom w:val="0"/>
          <w:divBdr>
            <w:top w:val="none" w:sz="0" w:space="0" w:color="auto"/>
            <w:left w:val="none" w:sz="0" w:space="0" w:color="auto"/>
            <w:bottom w:val="none" w:sz="0" w:space="0" w:color="auto"/>
            <w:right w:val="none" w:sz="0" w:space="0" w:color="auto"/>
          </w:divBdr>
        </w:div>
        <w:div w:id="970014884">
          <w:marLeft w:val="1800"/>
          <w:marRight w:val="0"/>
          <w:marTop w:val="91"/>
          <w:marBottom w:val="0"/>
          <w:divBdr>
            <w:top w:val="none" w:sz="0" w:space="0" w:color="auto"/>
            <w:left w:val="none" w:sz="0" w:space="0" w:color="auto"/>
            <w:bottom w:val="none" w:sz="0" w:space="0" w:color="auto"/>
            <w:right w:val="none" w:sz="0" w:space="0" w:color="auto"/>
          </w:divBdr>
        </w:div>
        <w:div w:id="74325293">
          <w:marLeft w:val="1800"/>
          <w:marRight w:val="0"/>
          <w:marTop w:val="91"/>
          <w:marBottom w:val="0"/>
          <w:divBdr>
            <w:top w:val="none" w:sz="0" w:space="0" w:color="auto"/>
            <w:left w:val="none" w:sz="0" w:space="0" w:color="auto"/>
            <w:bottom w:val="none" w:sz="0" w:space="0" w:color="auto"/>
            <w:right w:val="none" w:sz="0" w:space="0" w:color="auto"/>
          </w:divBdr>
        </w:div>
        <w:div w:id="603154923">
          <w:marLeft w:val="1166"/>
          <w:marRight w:val="0"/>
          <w:marTop w:val="106"/>
          <w:marBottom w:val="0"/>
          <w:divBdr>
            <w:top w:val="none" w:sz="0" w:space="0" w:color="auto"/>
            <w:left w:val="none" w:sz="0" w:space="0" w:color="auto"/>
            <w:bottom w:val="none" w:sz="0" w:space="0" w:color="auto"/>
            <w:right w:val="none" w:sz="0" w:space="0" w:color="auto"/>
          </w:divBdr>
        </w:div>
        <w:div w:id="2121291299">
          <w:marLeft w:val="1166"/>
          <w:marRight w:val="0"/>
          <w:marTop w:val="106"/>
          <w:marBottom w:val="0"/>
          <w:divBdr>
            <w:top w:val="none" w:sz="0" w:space="0" w:color="auto"/>
            <w:left w:val="none" w:sz="0" w:space="0" w:color="auto"/>
            <w:bottom w:val="none" w:sz="0" w:space="0" w:color="auto"/>
            <w:right w:val="none" w:sz="0" w:space="0" w:color="auto"/>
          </w:divBdr>
        </w:div>
        <w:div w:id="1431898239">
          <w:marLeft w:val="547"/>
          <w:marRight w:val="0"/>
          <w:marTop w:val="120"/>
          <w:marBottom w:val="0"/>
          <w:divBdr>
            <w:top w:val="none" w:sz="0" w:space="0" w:color="auto"/>
            <w:left w:val="none" w:sz="0" w:space="0" w:color="auto"/>
            <w:bottom w:val="none" w:sz="0" w:space="0" w:color="auto"/>
            <w:right w:val="none" w:sz="0" w:space="0" w:color="auto"/>
          </w:divBdr>
        </w:div>
        <w:div w:id="1630089505">
          <w:marLeft w:val="547"/>
          <w:marRight w:val="0"/>
          <w:marTop w:val="120"/>
          <w:marBottom w:val="0"/>
          <w:divBdr>
            <w:top w:val="none" w:sz="0" w:space="0" w:color="auto"/>
            <w:left w:val="none" w:sz="0" w:space="0" w:color="auto"/>
            <w:bottom w:val="none" w:sz="0" w:space="0" w:color="auto"/>
            <w:right w:val="none" w:sz="0" w:space="0" w:color="auto"/>
          </w:divBdr>
        </w:div>
      </w:divsChild>
    </w:div>
    <w:div w:id="1857570133">
      <w:bodyDiv w:val="1"/>
      <w:marLeft w:val="0"/>
      <w:marRight w:val="0"/>
      <w:marTop w:val="0"/>
      <w:marBottom w:val="0"/>
      <w:divBdr>
        <w:top w:val="none" w:sz="0" w:space="0" w:color="auto"/>
        <w:left w:val="none" w:sz="0" w:space="0" w:color="auto"/>
        <w:bottom w:val="none" w:sz="0" w:space="0" w:color="auto"/>
        <w:right w:val="none" w:sz="0" w:space="0" w:color="auto"/>
      </w:divBdr>
      <w:divsChild>
        <w:div w:id="424496006">
          <w:marLeft w:val="547"/>
          <w:marRight w:val="0"/>
          <w:marTop w:val="115"/>
          <w:marBottom w:val="0"/>
          <w:divBdr>
            <w:top w:val="none" w:sz="0" w:space="0" w:color="auto"/>
            <w:left w:val="none" w:sz="0" w:space="0" w:color="auto"/>
            <w:bottom w:val="none" w:sz="0" w:space="0" w:color="auto"/>
            <w:right w:val="none" w:sz="0" w:space="0" w:color="auto"/>
          </w:divBdr>
        </w:div>
        <w:div w:id="217087934">
          <w:marLeft w:val="1166"/>
          <w:marRight w:val="0"/>
          <w:marTop w:val="115"/>
          <w:marBottom w:val="0"/>
          <w:divBdr>
            <w:top w:val="none" w:sz="0" w:space="0" w:color="auto"/>
            <w:left w:val="none" w:sz="0" w:space="0" w:color="auto"/>
            <w:bottom w:val="none" w:sz="0" w:space="0" w:color="auto"/>
            <w:right w:val="none" w:sz="0" w:space="0" w:color="auto"/>
          </w:divBdr>
        </w:div>
        <w:div w:id="1416130870">
          <w:marLeft w:val="1166"/>
          <w:marRight w:val="0"/>
          <w:marTop w:val="115"/>
          <w:marBottom w:val="0"/>
          <w:divBdr>
            <w:top w:val="none" w:sz="0" w:space="0" w:color="auto"/>
            <w:left w:val="none" w:sz="0" w:space="0" w:color="auto"/>
            <w:bottom w:val="none" w:sz="0" w:space="0" w:color="auto"/>
            <w:right w:val="none" w:sz="0" w:space="0" w:color="auto"/>
          </w:divBdr>
        </w:div>
        <w:div w:id="546139210">
          <w:marLeft w:val="1166"/>
          <w:marRight w:val="0"/>
          <w:marTop w:val="115"/>
          <w:marBottom w:val="0"/>
          <w:divBdr>
            <w:top w:val="none" w:sz="0" w:space="0" w:color="auto"/>
            <w:left w:val="none" w:sz="0" w:space="0" w:color="auto"/>
            <w:bottom w:val="none" w:sz="0" w:space="0" w:color="auto"/>
            <w:right w:val="none" w:sz="0" w:space="0" w:color="auto"/>
          </w:divBdr>
        </w:div>
      </w:divsChild>
    </w:div>
    <w:div w:id="1881353642">
      <w:bodyDiv w:val="1"/>
      <w:marLeft w:val="0"/>
      <w:marRight w:val="0"/>
      <w:marTop w:val="0"/>
      <w:marBottom w:val="0"/>
      <w:divBdr>
        <w:top w:val="none" w:sz="0" w:space="0" w:color="auto"/>
        <w:left w:val="none" w:sz="0" w:space="0" w:color="auto"/>
        <w:bottom w:val="none" w:sz="0" w:space="0" w:color="auto"/>
        <w:right w:val="none" w:sz="0" w:space="0" w:color="auto"/>
      </w:divBdr>
      <w:divsChild>
        <w:div w:id="1377660995">
          <w:marLeft w:val="547"/>
          <w:marRight w:val="0"/>
          <w:marTop w:val="120"/>
          <w:marBottom w:val="0"/>
          <w:divBdr>
            <w:top w:val="none" w:sz="0" w:space="0" w:color="auto"/>
            <w:left w:val="none" w:sz="0" w:space="0" w:color="auto"/>
            <w:bottom w:val="none" w:sz="0" w:space="0" w:color="auto"/>
            <w:right w:val="none" w:sz="0" w:space="0" w:color="auto"/>
          </w:divBdr>
        </w:div>
        <w:div w:id="661157988">
          <w:marLeft w:val="1166"/>
          <w:marRight w:val="0"/>
          <w:marTop w:val="106"/>
          <w:marBottom w:val="0"/>
          <w:divBdr>
            <w:top w:val="none" w:sz="0" w:space="0" w:color="auto"/>
            <w:left w:val="none" w:sz="0" w:space="0" w:color="auto"/>
            <w:bottom w:val="none" w:sz="0" w:space="0" w:color="auto"/>
            <w:right w:val="none" w:sz="0" w:space="0" w:color="auto"/>
          </w:divBdr>
        </w:div>
        <w:div w:id="1993826330">
          <w:marLeft w:val="1166"/>
          <w:marRight w:val="0"/>
          <w:marTop w:val="106"/>
          <w:marBottom w:val="0"/>
          <w:divBdr>
            <w:top w:val="none" w:sz="0" w:space="0" w:color="auto"/>
            <w:left w:val="none" w:sz="0" w:space="0" w:color="auto"/>
            <w:bottom w:val="none" w:sz="0" w:space="0" w:color="auto"/>
            <w:right w:val="none" w:sz="0" w:space="0" w:color="auto"/>
          </w:divBdr>
        </w:div>
        <w:div w:id="866064190">
          <w:marLeft w:val="1166"/>
          <w:marRight w:val="0"/>
          <w:marTop w:val="106"/>
          <w:marBottom w:val="0"/>
          <w:divBdr>
            <w:top w:val="none" w:sz="0" w:space="0" w:color="auto"/>
            <w:left w:val="none" w:sz="0" w:space="0" w:color="auto"/>
            <w:bottom w:val="none" w:sz="0" w:space="0" w:color="auto"/>
            <w:right w:val="none" w:sz="0" w:space="0" w:color="auto"/>
          </w:divBdr>
        </w:div>
        <w:div w:id="917716340">
          <w:marLeft w:val="547"/>
          <w:marRight w:val="0"/>
          <w:marTop w:val="120"/>
          <w:marBottom w:val="0"/>
          <w:divBdr>
            <w:top w:val="none" w:sz="0" w:space="0" w:color="auto"/>
            <w:left w:val="none" w:sz="0" w:space="0" w:color="auto"/>
            <w:bottom w:val="none" w:sz="0" w:space="0" w:color="auto"/>
            <w:right w:val="none" w:sz="0" w:space="0" w:color="auto"/>
          </w:divBdr>
        </w:div>
        <w:div w:id="517083515">
          <w:marLeft w:val="547"/>
          <w:marRight w:val="0"/>
          <w:marTop w:val="120"/>
          <w:marBottom w:val="0"/>
          <w:divBdr>
            <w:top w:val="none" w:sz="0" w:space="0" w:color="auto"/>
            <w:left w:val="none" w:sz="0" w:space="0" w:color="auto"/>
            <w:bottom w:val="none" w:sz="0" w:space="0" w:color="auto"/>
            <w:right w:val="none" w:sz="0" w:space="0" w:color="auto"/>
          </w:divBdr>
        </w:div>
        <w:div w:id="369842921">
          <w:marLeft w:val="1166"/>
          <w:marRight w:val="0"/>
          <w:marTop w:val="106"/>
          <w:marBottom w:val="0"/>
          <w:divBdr>
            <w:top w:val="none" w:sz="0" w:space="0" w:color="auto"/>
            <w:left w:val="none" w:sz="0" w:space="0" w:color="auto"/>
            <w:bottom w:val="none" w:sz="0" w:space="0" w:color="auto"/>
            <w:right w:val="none" w:sz="0" w:space="0" w:color="auto"/>
          </w:divBdr>
        </w:div>
        <w:div w:id="64226804">
          <w:marLeft w:val="1166"/>
          <w:marRight w:val="0"/>
          <w:marTop w:val="106"/>
          <w:marBottom w:val="0"/>
          <w:divBdr>
            <w:top w:val="none" w:sz="0" w:space="0" w:color="auto"/>
            <w:left w:val="none" w:sz="0" w:space="0" w:color="auto"/>
            <w:bottom w:val="none" w:sz="0" w:space="0" w:color="auto"/>
            <w:right w:val="none" w:sz="0" w:space="0" w:color="auto"/>
          </w:divBdr>
        </w:div>
        <w:div w:id="1070007334">
          <w:marLeft w:val="1166"/>
          <w:marRight w:val="0"/>
          <w:marTop w:val="106"/>
          <w:marBottom w:val="0"/>
          <w:divBdr>
            <w:top w:val="none" w:sz="0" w:space="0" w:color="auto"/>
            <w:left w:val="none" w:sz="0" w:space="0" w:color="auto"/>
            <w:bottom w:val="none" w:sz="0" w:space="0" w:color="auto"/>
            <w:right w:val="none" w:sz="0" w:space="0" w:color="auto"/>
          </w:divBdr>
        </w:div>
        <w:div w:id="792946511">
          <w:marLeft w:val="547"/>
          <w:marRight w:val="0"/>
          <w:marTop w:val="120"/>
          <w:marBottom w:val="0"/>
          <w:divBdr>
            <w:top w:val="none" w:sz="0" w:space="0" w:color="auto"/>
            <w:left w:val="none" w:sz="0" w:space="0" w:color="auto"/>
            <w:bottom w:val="none" w:sz="0" w:space="0" w:color="auto"/>
            <w:right w:val="none" w:sz="0" w:space="0" w:color="auto"/>
          </w:divBdr>
        </w:div>
      </w:divsChild>
    </w:div>
    <w:div w:id="1895656834">
      <w:bodyDiv w:val="1"/>
      <w:marLeft w:val="0"/>
      <w:marRight w:val="0"/>
      <w:marTop w:val="0"/>
      <w:marBottom w:val="0"/>
      <w:divBdr>
        <w:top w:val="none" w:sz="0" w:space="0" w:color="auto"/>
        <w:left w:val="none" w:sz="0" w:space="0" w:color="auto"/>
        <w:bottom w:val="none" w:sz="0" w:space="0" w:color="auto"/>
        <w:right w:val="none" w:sz="0" w:space="0" w:color="auto"/>
      </w:divBdr>
      <w:divsChild>
        <w:div w:id="1210803738">
          <w:marLeft w:val="547"/>
          <w:marRight w:val="0"/>
          <w:marTop w:val="134"/>
          <w:marBottom w:val="0"/>
          <w:divBdr>
            <w:top w:val="none" w:sz="0" w:space="0" w:color="auto"/>
            <w:left w:val="none" w:sz="0" w:space="0" w:color="auto"/>
            <w:bottom w:val="none" w:sz="0" w:space="0" w:color="auto"/>
            <w:right w:val="none" w:sz="0" w:space="0" w:color="auto"/>
          </w:divBdr>
        </w:div>
        <w:div w:id="483203134">
          <w:marLeft w:val="1166"/>
          <w:marRight w:val="0"/>
          <w:marTop w:val="134"/>
          <w:marBottom w:val="0"/>
          <w:divBdr>
            <w:top w:val="none" w:sz="0" w:space="0" w:color="auto"/>
            <w:left w:val="none" w:sz="0" w:space="0" w:color="auto"/>
            <w:bottom w:val="none" w:sz="0" w:space="0" w:color="auto"/>
            <w:right w:val="none" w:sz="0" w:space="0" w:color="auto"/>
          </w:divBdr>
        </w:div>
        <w:div w:id="815032122">
          <w:marLeft w:val="547"/>
          <w:marRight w:val="0"/>
          <w:marTop w:val="134"/>
          <w:marBottom w:val="0"/>
          <w:divBdr>
            <w:top w:val="none" w:sz="0" w:space="0" w:color="auto"/>
            <w:left w:val="none" w:sz="0" w:space="0" w:color="auto"/>
            <w:bottom w:val="none" w:sz="0" w:space="0" w:color="auto"/>
            <w:right w:val="none" w:sz="0" w:space="0" w:color="auto"/>
          </w:divBdr>
        </w:div>
        <w:div w:id="1612199834">
          <w:marLeft w:val="1166"/>
          <w:marRight w:val="0"/>
          <w:marTop w:val="134"/>
          <w:marBottom w:val="0"/>
          <w:divBdr>
            <w:top w:val="none" w:sz="0" w:space="0" w:color="auto"/>
            <w:left w:val="none" w:sz="0" w:space="0" w:color="auto"/>
            <w:bottom w:val="none" w:sz="0" w:space="0" w:color="auto"/>
            <w:right w:val="none" w:sz="0" w:space="0" w:color="auto"/>
          </w:divBdr>
        </w:div>
        <w:div w:id="965895669">
          <w:marLeft w:val="1166"/>
          <w:marRight w:val="0"/>
          <w:marTop w:val="134"/>
          <w:marBottom w:val="0"/>
          <w:divBdr>
            <w:top w:val="none" w:sz="0" w:space="0" w:color="auto"/>
            <w:left w:val="none" w:sz="0" w:space="0" w:color="auto"/>
            <w:bottom w:val="none" w:sz="0" w:space="0" w:color="auto"/>
            <w:right w:val="none" w:sz="0" w:space="0" w:color="auto"/>
          </w:divBdr>
        </w:div>
        <w:div w:id="636374909">
          <w:marLeft w:val="1800"/>
          <w:marRight w:val="0"/>
          <w:marTop w:val="134"/>
          <w:marBottom w:val="0"/>
          <w:divBdr>
            <w:top w:val="none" w:sz="0" w:space="0" w:color="auto"/>
            <w:left w:val="none" w:sz="0" w:space="0" w:color="auto"/>
            <w:bottom w:val="none" w:sz="0" w:space="0" w:color="auto"/>
            <w:right w:val="none" w:sz="0" w:space="0" w:color="auto"/>
          </w:divBdr>
        </w:div>
        <w:div w:id="975258245">
          <w:marLeft w:val="1800"/>
          <w:marRight w:val="0"/>
          <w:marTop w:val="134"/>
          <w:marBottom w:val="0"/>
          <w:divBdr>
            <w:top w:val="none" w:sz="0" w:space="0" w:color="auto"/>
            <w:left w:val="none" w:sz="0" w:space="0" w:color="auto"/>
            <w:bottom w:val="none" w:sz="0" w:space="0" w:color="auto"/>
            <w:right w:val="none" w:sz="0" w:space="0" w:color="auto"/>
          </w:divBdr>
        </w:div>
      </w:divsChild>
    </w:div>
    <w:div w:id="1931769054">
      <w:bodyDiv w:val="1"/>
      <w:marLeft w:val="0"/>
      <w:marRight w:val="0"/>
      <w:marTop w:val="0"/>
      <w:marBottom w:val="0"/>
      <w:divBdr>
        <w:top w:val="none" w:sz="0" w:space="0" w:color="auto"/>
        <w:left w:val="none" w:sz="0" w:space="0" w:color="auto"/>
        <w:bottom w:val="none" w:sz="0" w:space="0" w:color="auto"/>
        <w:right w:val="none" w:sz="0" w:space="0" w:color="auto"/>
      </w:divBdr>
      <w:divsChild>
        <w:div w:id="1374421081">
          <w:marLeft w:val="547"/>
          <w:marRight w:val="0"/>
          <w:marTop w:val="134"/>
          <w:marBottom w:val="0"/>
          <w:divBdr>
            <w:top w:val="none" w:sz="0" w:space="0" w:color="auto"/>
            <w:left w:val="none" w:sz="0" w:space="0" w:color="auto"/>
            <w:bottom w:val="none" w:sz="0" w:space="0" w:color="auto"/>
            <w:right w:val="none" w:sz="0" w:space="0" w:color="auto"/>
          </w:divBdr>
        </w:div>
        <w:div w:id="1065681836">
          <w:marLeft w:val="1166"/>
          <w:marRight w:val="0"/>
          <w:marTop w:val="115"/>
          <w:marBottom w:val="0"/>
          <w:divBdr>
            <w:top w:val="none" w:sz="0" w:space="0" w:color="auto"/>
            <w:left w:val="none" w:sz="0" w:space="0" w:color="auto"/>
            <w:bottom w:val="none" w:sz="0" w:space="0" w:color="auto"/>
            <w:right w:val="none" w:sz="0" w:space="0" w:color="auto"/>
          </w:divBdr>
        </w:div>
      </w:divsChild>
    </w:div>
    <w:div w:id="208352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4019</TotalTime>
  <Pages>6</Pages>
  <Words>1691</Words>
  <Characters>9645</Characters>
  <Application>Microsoft Office Word</Application>
  <DocSecurity>0</DocSecurity>
  <Lines>80</Lines>
  <Paragraphs>22</Paragraphs>
  <ScaleCrop>false</ScaleCrop>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92</cp:revision>
  <dcterms:created xsi:type="dcterms:W3CDTF">2021-01-13T07:22:00Z</dcterms:created>
  <dcterms:modified xsi:type="dcterms:W3CDTF">2022-02-14T10:57:00Z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